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DE" w:rsidRDefault="00F659DE" w:rsidP="00F659DE">
      <w:pPr>
        <w:spacing w:line="240" w:lineRule="atLeast"/>
        <w:rPr>
          <w:rFonts w:ascii="仿宋" w:eastAsia="仿宋" w:hAnsi="仿宋" w:cs="仿宋"/>
          <w:sz w:val="32"/>
          <w:szCs w:val="32"/>
        </w:rPr>
      </w:pPr>
      <w:r w:rsidRPr="00540372">
        <w:rPr>
          <w:rFonts w:ascii="仿宋" w:eastAsia="仿宋" w:hAnsi="仿宋" w:cs="仿宋" w:hint="eastAsia"/>
          <w:sz w:val="32"/>
          <w:szCs w:val="32"/>
        </w:rPr>
        <w:t>附件</w:t>
      </w:r>
    </w:p>
    <w:p w:rsidR="00F659DE" w:rsidRPr="00540372" w:rsidRDefault="00F659DE" w:rsidP="00F659DE">
      <w:pPr>
        <w:spacing w:line="240" w:lineRule="atLeast"/>
        <w:rPr>
          <w:rFonts w:ascii="仿宋" w:eastAsia="仿宋" w:hAnsi="仿宋" w:cs="仿宋" w:hint="eastAsia"/>
          <w:sz w:val="32"/>
          <w:szCs w:val="32"/>
        </w:rPr>
      </w:pPr>
    </w:p>
    <w:p w:rsidR="00F659DE" w:rsidRPr="00540372" w:rsidRDefault="00F659DE" w:rsidP="00F659DE">
      <w:pPr>
        <w:spacing w:line="240" w:lineRule="atLeast"/>
        <w:jc w:val="center"/>
        <w:rPr>
          <w:rFonts w:ascii="仿宋" w:eastAsia="仿宋" w:hAnsi="仿宋" w:cs="仿宋" w:hint="eastAsia"/>
          <w:sz w:val="32"/>
          <w:szCs w:val="32"/>
        </w:rPr>
      </w:pPr>
      <w:r w:rsidRPr="00540372">
        <w:rPr>
          <w:rFonts w:ascii="仿宋" w:eastAsia="仿宋" w:hAnsi="仿宋" w:cs="仿宋" w:hint="eastAsia"/>
          <w:sz w:val="32"/>
          <w:szCs w:val="32"/>
        </w:rPr>
        <w:t>银行应提供的材料</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一、银行营业执照，托管银行“企业年金基金管理机构”或“证券投资基金管理机构”资格的证明文件，与政府</w:t>
      </w:r>
      <w:r w:rsidRPr="00540372">
        <w:rPr>
          <w:rFonts w:ascii="仿宋" w:eastAsia="仿宋" w:hAnsi="仿宋" w:cs="仿宋"/>
          <w:sz w:val="32"/>
          <w:szCs w:val="32"/>
        </w:rPr>
        <w:t>合作的社会保障卡联名银行相关</w:t>
      </w:r>
      <w:r w:rsidRPr="00540372">
        <w:rPr>
          <w:rFonts w:ascii="仿宋" w:eastAsia="仿宋" w:hAnsi="仿宋" w:cs="仿宋" w:hint="eastAsia"/>
          <w:sz w:val="32"/>
          <w:szCs w:val="32"/>
        </w:rPr>
        <w:t>证明</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二、截至2022年最近一期人民银行 “银行业金融机构综合评价”</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三、2022年末年报(总行数据，主要财务概况:资本充足率、不良贷款率、拨备覆盖率</w:t>
      </w:r>
      <w:r w:rsidRPr="00540372">
        <w:rPr>
          <w:rFonts w:ascii="仿宋" w:eastAsia="仿宋" w:hAnsi="仿宋" w:cs="仿宋"/>
          <w:sz w:val="32"/>
          <w:szCs w:val="32"/>
        </w:rPr>
        <w:t>、资产利润率、</w:t>
      </w:r>
      <w:r w:rsidRPr="00540372">
        <w:rPr>
          <w:rFonts w:ascii="仿宋" w:eastAsia="仿宋" w:hAnsi="仿宋" w:cs="仿宋" w:hint="eastAsia"/>
          <w:sz w:val="32"/>
          <w:szCs w:val="32"/>
        </w:rPr>
        <w:t>人民币流动性比例)</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四、截止2022年底，在白山市江源区范围内设立的营业网点的数量(各营业网点信息，包括但不限于营业网点名称、地址、联系电话、网点负责人姓名等内容)</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五、支持我区经济建设材料(包括不限于3年内银行存贷比率、存贷款增速等数据)</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六、拟投入用于支持吉林省机关行政事业单位职业年金基金账管系统建设和</w:t>
      </w:r>
      <w:r w:rsidRPr="00540372">
        <w:rPr>
          <w:rFonts w:ascii="仿宋" w:eastAsia="仿宋" w:hAnsi="仿宋" w:cs="仿宋"/>
          <w:sz w:val="32"/>
          <w:szCs w:val="32"/>
        </w:rPr>
        <w:t>社银平台</w:t>
      </w:r>
      <w:r w:rsidRPr="00540372">
        <w:rPr>
          <w:rFonts w:ascii="仿宋" w:eastAsia="仿宋" w:hAnsi="仿宋" w:cs="仿宋" w:hint="eastAsia"/>
          <w:sz w:val="32"/>
          <w:szCs w:val="32"/>
        </w:rPr>
        <w:t>的能力及技术储备的能力，配合社保局工作承诺（书面材料）。</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七、与社保系统相对接的系统开发、联通的完成时限、工作进度计划及安排（书面材料）。</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八、提供方便快捷的上门服务，提供必要的人员和设备</w:t>
      </w:r>
      <w:r w:rsidRPr="00540372">
        <w:rPr>
          <w:rFonts w:ascii="仿宋" w:eastAsia="仿宋" w:hAnsi="仿宋" w:cs="仿宋" w:hint="eastAsia"/>
          <w:sz w:val="32"/>
          <w:szCs w:val="32"/>
        </w:rPr>
        <w:lastRenderedPageBreak/>
        <w:t>支持，相关回单凭证及时传递等业务需求的书面材料。</w:t>
      </w:r>
    </w:p>
    <w:p w:rsidR="00F659DE" w:rsidRPr="00540372" w:rsidRDefault="00F659DE" w:rsidP="00F659DE">
      <w:pPr>
        <w:spacing w:line="240" w:lineRule="atLeast"/>
        <w:ind w:firstLineChars="200" w:firstLine="640"/>
        <w:rPr>
          <w:rFonts w:ascii="仿宋" w:eastAsia="仿宋" w:hAnsi="仿宋" w:cs="仿宋" w:hint="eastAsia"/>
          <w:sz w:val="32"/>
          <w:szCs w:val="32"/>
        </w:rPr>
      </w:pPr>
      <w:r w:rsidRPr="00540372">
        <w:rPr>
          <w:rFonts w:ascii="仿宋" w:eastAsia="仿宋" w:hAnsi="仿宋" w:cs="仿宋" w:hint="eastAsia"/>
          <w:sz w:val="32"/>
          <w:szCs w:val="32"/>
        </w:rPr>
        <w:t>九、职业年金基金托管账户执行</w:t>
      </w:r>
      <w:r>
        <w:rPr>
          <w:rFonts w:ascii="仿宋" w:eastAsia="仿宋" w:hAnsi="仿宋" w:cs="仿宋" w:hint="eastAsia"/>
          <w:sz w:val="32"/>
          <w:szCs w:val="32"/>
        </w:rPr>
        <w:t>较基准利率</w:t>
      </w:r>
      <w:r>
        <w:rPr>
          <w:rFonts w:ascii="仿宋" w:eastAsia="仿宋" w:hAnsi="仿宋" w:cs="仿宋"/>
          <w:sz w:val="32"/>
          <w:szCs w:val="32"/>
        </w:rPr>
        <w:t>上浮</w:t>
      </w:r>
      <w:r>
        <w:rPr>
          <w:rFonts w:ascii="仿宋" w:eastAsia="仿宋" w:hAnsi="仿宋" w:cs="仿宋" w:hint="eastAsia"/>
          <w:sz w:val="32"/>
          <w:szCs w:val="32"/>
        </w:rPr>
        <w:t>40</w:t>
      </w:r>
      <w:r>
        <w:rPr>
          <w:rFonts w:ascii="仿宋" w:eastAsia="仿宋" w:hAnsi="仿宋" w:cs="仿宋"/>
          <w:sz w:val="32"/>
          <w:szCs w:val="32"/>
        </w:rPr>
        <w:t>%</w:t>
      </w:r>
      <w:r>
        <w:rPr>
          <w:rFonts w:ascii="仿宋" w:eastAsia="仿宋" w:hAnsi="仿宋" w:cs="仿宋" w:hint="eastAsia"/>
          <w:sz w:val="32"/>
          <w:szCs w:val="32"/>
        </w:rPr>
        <w:t>（1.54%</w:t>
      </w:r>
      <w:r>
        <w:rPr>
          <w:rFonts w:ascii="仿宋" w:eastAsia="仿宋" w:hAnsi="仿宋" w:cs="仿宋"/>
          <w:sz w:val="32"/>
          <w:szCs w:val="32"/>
        </w:rPr>
        <w:t>）</w:t>
      </w:r>
      <w:r>
        <w:rPr>
          <w:rFonts w:ascii="仿宋" w:eastAsia="仿宋" w:hAnsi="仿宋" w:cs="仿宋" w:hint="eastAsia"/>
          <w:sz w:val="32"/>
          <w:szCs w:val="32"/>
        </w:rPr>
        <w:t>的</w:t>
      </w:r>
      <w:r w:rsidRPr="00540372">
        <w:rPr>
          <w:rFonts w:ascii="仿宋" w:eastAsia="仿宋" w:hAnsi="仿宋" w:cs="仿宋" w:hint="eastAsia"/>
          <w:sz w:val="32"/>
          <w:szCs w:val="32"/>
        </w:rPr>
        <w:t>优惠利率的承诺保证（书面材料）。</w:t>
      </w:r>
    </w:p>
    <w:p w:rsidR="00F659DE" w:rsidRPr="00540372" w:rsidRDefault="00F659DE" w:rsidP="00F659DE">
      <w:pPr>
        <w:spacing w:line="240" w:lineRule="atLeast"/>
        <w:ind w:firstLine="420"/>
        <w:rPr>
          <w:rFonts w:ascii="仿宋" w:eastAsia="仿宋" w:hAnsi="仿宋" w:cs="仿宋" w:hint="eastAsia"/>
          <w:sz w:val="32"/>
          <w:szCs w:val="32"/>
        </w:rPr>
      </w:pPr>
      <w:r w:rsidRPr="00540372">
        <w:rPr>
          <w:rFonts w:ascii="仿宋" w:eastAsia="仿宋" w:hAnsi="仿宋" w:cs="仿宋" w:hint="eastAsia"/>
          <w:sz w:val="32"/>
          <w:szCs w:val="32"/>
        </w:rPr>
        <w:t>十、代理业务费用收取的各项费用明细及相关减免承诺。</w:t>
      </w:r>
    </w:p>
    <w:p w:rsidR="00F659DE" w:rsidRPr="00540372" w:rsidRDefault="00F659DE" w:rsidP="00F659DE">
      <w:pPr>
        <w:spacing w:line="240" w:lineRule="atLeast"/>
        <w:ind w:firstLine="420"/>
        <w:rPr>
          <w:rFonts w:ascii="仿宋" w:eastAsia="仿宋" w:hAnsi="仿宋" w:cs="仿宋" w:hint="eastAsia"/>
          <w:sz w:val="32"/>
          <w:szCs w:val="32"/>
        </w:rPr>
      </w:pPr>
      <w:r w:rsidRPr="00540372">
        <w:rPr>
          <w:rFonts w:ascii="仿宋" w:eastAsia="仿宋" w:hAnsi="仿宋" w:cs="仿宋" w:hint="eastAsia"/>
          <w:sz w:val="32"/>
          <w:szCs w:val="32"/>
        </w:rPr>
        <w:t>十一、有利于职业年金业务的服务事项。</w:t>
      </w:r>
    </w:p>
    <w:p w:rsidR="00F659DE" w:rsidRDefault="00F659DE" w:rsidP="00F659DE">
      <w:pPr>
        <w:spacing w:line="360" w:lineRule="auto"/>
        <w:rPr>
          <w:rFonts w:ascii="仿宋" w:eastAsia="仿宋" w:hAnsi="仿宋" w:cs="仿宋" w:hint="eastAsia"/>
          <w:sz w:val="32"/>
          <w:szCs w:val="32"/>
        </w:rPr>
      </w:pPr>
    </w:p>
    <w:p w:rsidR="00AF1D87" w:rsidRDefault="00AF1D87">
      <w:bookmarkStart w:id="0" w:name="_GoBack"/>
      <w:bookmarkEnd w:id="0"/>
    </w:p>
    <w:sectPr w:rsidR="00AF1D8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5C"/>
    <w:rsid w:val="00314E5C"/>
    <w:rsid w:val="00AF1D87"/>
    <w:rsid w:val="00F6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D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D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2023-12-12T05:51:00Z</dcterms:created>
  <dcterms:modified xsi:type="dcterms:W3CDTF">2023-12-12T05:51:00Z</dcterms:modified>
</cp:coreProperties>
</file>