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32" w:lineRule="auto"/>
        <w:ind w:left="0" w:right="0"/>
        <w:jc w:val="center"/>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
        </w:rPr>
        <w:t>江源区城墙街道办事处</w:t>
      </w:r>
      <w:r>
        <w:rPr>
          <w:rFonts w:hint="eastAsia" w:ascii="宋体" w:hAnsi="宋体" w:eastAsia="宋体" w:cs="宋体"/>
          <w:color w:val="auto"/>
          <w:kern w:val="2"/>
          <w:sz w:val="28"/>
          <w:szCs w:val="28"/>
          <w:lang w:val="en-US" w:eastAsia="zh-CN" w:bidi="ar"/>
        </w:rPr>
        <w:t>2018</w:t>
      </w:r>
      <w:r>
        <w:rPr>
          <w:rFonts w:hint="eastAsia" w:ascii="宋体" w:hAnsi="宋体" w:eastAsia="宋体" w:cs="宋体"/>
          <w:color w:val="auto"/>
          <w:kern w:val="2"/>
          <w:sz w:val="28"/>
          <w:szCs w:val="28"/>
          <w:lang w:val="en-US" w:eastAsia="zh-CN" w:bidi="ar"/>
        </w:rPr>
        <w:t>年度政府信息公开工作报告</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kern w:val="2"/>
          <w:sz w:val="28"/>
          <w:szCs w:val="28"/>
          <w:lang w:val="en-US" w:eastAsia="zh-CN" w:bidi="ar"/>
        </w:rPr>
      </w:pP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kern w:val="2"/>
          <w:sz w:val="28"/>
          <w:szCs w:val="28"/>
          <w:lang w:val="en-US" w:eastAsia="zh-CN" w:bidi="ar"/>
        </w:rPr>
      </w:pPr>
      <w:bookmarkStart w:id="0" w:name="_GoBack"/>
      <w:bookmarkEnd w:id="0"/>
      <w:r>
        <w:rPr>
          <w:rFonts w:hint="eastAsia" w:ascii="宋体" w:hAnsi="宋体" w:eastAsia="宋体" w:cs="宋体"/>
          <w:color w:val="auto"/>
          <w:kern w:val="2"/>
          <w:sz w:val="28"/>
          <w:szCs w:val="28"/>
          <w:lang w:val="en-US" w:eastAsia="zh-CN" w:bidi="ar"/>
        </w:rPr>
        <w:t>《中华人民共和国政府信息公开条例》颁布实施以来，城墙街道办事处认真贯彻《条例》的各项要求，扎实推进政府信息公开工作。按照区政府信息公开工作要求，现将城墙街道办事处2018年度政府信息公开工作报告如下：</w:t>
      </w:r>
    </w:p>
    <w:p>
      <w:pPr>
        <w:keepNext w:val="0"/>
        <w:keepLines w:val="0"/>
        <w:widowControl/>
        <w:numPr>
          <w:ilvl w:val="0"/>
          <w:numId w:val="0"/>
        </w:numPr>
        <w:suppressLineNumbers w:val="0"/>
        <w:spacing w:before="0" w:beforeAutospacing="0" w:after="0" w:afterAutospacing="0" w:line="432" w:lineRule="auto"/>
        <w:ind w:left="420" w:leftChars="0" w:right="0" w:rightChars="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b w:val="0"/>
          <w:bCs w:val="0"/>
          <w:color w:val="000000" w:themeColor="text1"/>
          <w:kern w:val="2"/>
          <w:sz w:val="28"/>
          <w:szCs w:val="28"/>
          <w:lang w:val="en-US" w:eastAsia="zh-CN" w:bidi="ar"/>
          <w14:textFill>
            <w14:solidFill>
              <w14:schemeClr w14:val="tx1"/>
            </w14:solidFill>
          </w14:textFill>
        </w:rPr>
        <w:t> </w:t>
      </w:r>
      <w:r>
        <w:rPr>
          <w:rFonts w:hint="eastAsia" w:ascii="宋体" w:hAnsi="宋体" w:eastAsia="宋体" w:cs="宋体"/>
          <w:b w:val="0"/>
          <w:bCs w:val="0"/>
          <w:color w:val="000000" w:themeColor="text1"/>
          <w:kern w:val="0"/>
          <w:sz w:val="28"/>
          <w:szCs w:val="28"/>
          <w:lang w:val="en-US" w:eastAsia="zh-CN" w:bidi="ar"/>
          <w14:textFill>
            <w14:solidFill>
              <w14:schemeClr w14:val="tx1"/>
            </w14:solidFill>
          </w14:textFill>
        </w:rPr>
        <w:t>二、建立健全领导体制和工作机构</w:t>
      </w:r>
      <w:r>
        <w:rPr>
          <w:rFonts w:hint="eastAsia" w:ascii="宋体" w:hAnsi="宋体" w:eastAsia="宋体" w:cs="宋体"/>
          <w:b w:val="0"/>
          <w:bCs w:val="0"/>
          <w:color w:val="333333"/>
          <w:kern w:val="0"/>
          <w:sz w:val="28"/>
          <w:szCs w:val="28"/>
          <w:lang w:val="en-US" w:eastAsia="zh-CN" w:bidi="ar"/>
        </w:rPr>
        <w:t> </w:t>
      </w:r>
      <w:r>
        <w:rPr>
          <w:rFonts w:hint="eastAsia" w:ascii="宋体" w:hAnsi="宋体" w:eastAsia="宋体" w:cs="宋体"/>
          <w:b/>
          <w:bCs/>
          <w:color w:val="333333"/>
          <w:kern w:val="0"/>
          <w:sz w:val="28"/>
          <w:szCs w:val="28"/>
          <w:lang w:val="en-US" w:eastAsia="zh-CN" w:bidi="ar"/>
        </w:rPr>
        <w:br w:type="textWrapping"/>
      </w:r>
      <w:r>
        <w:rPr>
          <w:rFonts w:hint="eastAsia" w:ascii="宋体" w:hAnsi="宋体" w:eastAsia="宋体" w:cs="宋体"/>
          <w:color w:val="333333"/>
          <w:kern w:val="0"/>
          <w:sz w:val="28"/>
          <w:szCs w:val="28"/>
          <w:lang w:val="en-US" w:eastAsia="zh-CN" w:bidi="ar"/>
        </w:rPr>
        <w:t xml:space="preserve">    </w:t>
      </w:r>
      <w:r>
        <w:rPr>
          <w:rFonts w:hint="eastAsia" w:ascii="宋体" w:hAnsi="宋体" w:eastAsia="宋体" w:cs="宋体"/>
          <w:color w:val="auto"/>
          <w:kern w:val="2"/>
          <w:sz w:val="28"/>
          <w:szCs w:val="28"/>
          <w:lang w:val="en-US" w:eastAsia="zh-CN" w:bidi="ar"/>
        </w:rPr>
        <w:t>1.建立领导和工作机构.城墙街道办事处成立了由兰培坤、李建功同志任组长的领导小组，确定党政办公室作为本街道政府信息公开工作的主管部门，负责推进、指导、协调、监督全局的政府信息公开工作。</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建立相关工作机制。转发了国家、省和市贯彻《条例》的有关文件，并结合实际，建立相关的工作机制。制定了涉及政府信息发布协调、保密审查和依申请公开等多项制度。同时，建立了依申请公开具体工作流程，明确分工、细化步骤、优化流程，确保政府信息及时主动公开，信息公开申请及时办理反馈。</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3.编制发布政府信息公开目录和指南。根据《条例》要求，按照《政府信息公开指导手册》的要求，城墙街道办事处编制了政府信息公开目录和指南。</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4.完善政府信息发布渠道。 一是充分发挥政府网站作为政府信息公开第一平台的作用。集中发布主动公开的政府信息。二是拓展政府信息公开渠道。我街还将通过其他方式拓展政府信息公开渠道。</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
        </w:rPr>
        <w:t>5.积极开展培训和宣传工作。一是开展培训。加强对政务信息公开网建设人员的培训及相关工作人员的培训。二是加强宣传。利用咨询台、宣传条幅等形式营造实施《条例》的良好氛围。</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kern w:val="2"/>
          <w:sz w:val="28"/>
          <w:szCs w:val="28"/>
          <w:lang w:val="en-US" w:eastAsia="zh-CN" w:bidi="ar"/>
        </w:rPr>
      </w:pPr>
      <w:r>
        <w:rPr>
          <w:rFonts w:hint="eastAsia" w:ascii="宋体" w:hAnsi="宋体" w:eastAsia="宋体" w:cs="宋体"/>
          <w:b w:val="0"/>
          <w:bCs w:val="0"/>
          <w:color w:val="auto"/>
          <w:kern w:val="2"/>
          <w:sz w:val="28"/>
          <w:szCs w:val="28"/>
          <w:lang w:val="en-US" w:eastAsia="zh-CN" w:bidi="ar"/>
        </w:rPr>
        <w:t>二、公开政府信息发布数量情况。</w:t>
      </w:r>
      <w:r>
        <w:rPr>
          <w:rFonts w:hint="eastAsia" w:ascii="宋体" w:hAnsi="宋体" w:eastAsia="宋体" w:cs="宋体"/>
          <w:color w:val="auto"/>
          <w:kern w:val="2"/>
          <w:sz w:val="28"/>
          <w:szCs w:val="28"/>
          <w:lang w:val="en-US" w:eastAsia="zh-CN" w:bidi="ar"/>
        </w:rPr>
        <w:t>截至2018年12月31日，全街共在政府公开网站发布各类信息116条。2018年，在依申请公开政府信息中，城墙街道办事处未因申请政府信息公开引起行政复议及行政诉讼案件发生。</w:t>
      </w:r>
    </w:p>
    <w:p>
      <w:pPr>
        <w:keepNext w:val="0"/>
        <w:keepLines w:val="0"/>
        <w:widowControl/>
        <w:numPr>
          <w:ilvl w:val="0"/>
          <w:numId w:val="0"/>
        </w:numPr>
        <w:suppressLineNumbers w:val="0"/>
        <w:spacing w:before="0" w:beforeAutospacing="0" w:after="0" w:afterAutospacing="0" w:line="432" w:lineRule="auto"/>
        <w:ind w:left="420" w:leftChars="0" w:right="0" w:rightChars="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drawing>
          <wp:inline distT="0" distB="0" distL="114300" distR="114300">
            <wp:extent cx="4841875" cy="4789805"/>
            <wp:effectExtent l="4445" t="4445" r="11430"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widowControl/>
        <w:numPr>
          <w:ilvl w:val="0"/>
          <w:numId w:val="0"/>
        </w:numPr>
        <w:suppressLineNumbers w:val="0"/>
        <w:spacing w:before="0" w:beforeAutospacing="0" w:after="0" w:afterAutospacing="0" w:line="432" w:lineRule="auto"/>
        <w:ind w:left="420" w:leftChars="0" w:right="0" w:rightChars="0" w:firstLine="562" w:firstLineChars="200"/>
        <w:jc w:val="both"/>
        <w:rPr>
          <w:rFonts w:hint="eastAsia" w:ascii="宋体" w:hAnsi="宋体" w:eastAsia="宋体" w:cs="宋体"/>
          <w:b/>
          <w:bCs/>
          <w:color w:val="333333"/>
          <w:kern w:val="0"/>
          <w:sz w:val="28"/>
          <w:szCs w:val="28"/>
          <w:lang w:val="en-US" w:eastAsia="zh-CN" w:bidi="ar"/>
        </w:rPr>
      </w:pPr>
    </w:p>
    <w:p>
      <w:pPr>
        <w:numPr>
          <w:ilvl w:val="0"/>
          <w:numId w:val="0"/>
        </w:numPr>
        <w:ind w:firstLine="560" w:firstLineChars="200"/>
        <w:rPr>
          <w:rFonts w:hint="eastAsia" w:ascii="宋体" w:hAnsi="宋体" w:eastAsia="宋体" w:cs="宋体"/>
          <w:b w:val="0"/>
          <w:bCs w:val="0"/>
          <w:color w:val="auto"/>
          <w:kern w:val="2"/>
          <w:sz w:val="28"/>
          <w:szCs w:val="28"/>
          <w:lang w:val="en-US" w:eastAsia="zh-CN" w:bidi="ar"/>
        </w:rPr>
      </w:pPr>
      <w:r>
        <w:rPr>
          <w:rFonts w:hint="eastAsia" w:ascii="宋体" w:hAnsi="宋体" w:eastAsia="宋体" w:cs="宋体"/>
          <w:b w:val="0"/>
          <w:bCs w:val="0"/>
          <w:color w:val="auto"/>
          <w:kern w:val="2"/>
          <w:sz w:val="28"/>
          <w:szCs w:val="28"/>
          <w:lang w:val="en-US" w:eastAsia="zh-CN" w:bidi="ar"/>
        </w:rPr>
        <w:t>三、政务公开完成情况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1.政策解读情况，城墙街道</w:t>
      </w:r>
      <w:r>
        <w:rPr>
          <w:rFonts w:hint="eastAsia" w:ascii="宋体" w:hAnsi="宋体" w:eastAsia="宋体" w:cs="宋体"/>
          <w:sz w:val="28"/>
          <w:szCs w:val="28"/>
        </w:rPr>
        <w:t>规范</w:t>
      </w:r>
      <w:r>
        <w:rPr>
          <w:rFonts w:hint="eastAsia" w:ascii="宋体" w:hAnsi="宋体" w:eastAsia="宋体" w:cs="宋体"/>
          <w:sz w:val="28"/>
          <w:szCs w:val="28"/>
          <w:lang w:eastAsia="zh-CN"/>
        </w:rPr>
        <w:t>文件</w:t>
      </w:r>
      <w:r>
        <w:rPr>
          <w:rFonts w:hint="eastAsia" w:ascii="宋体" w:hAnsi="宋体" w:eastAsia="宋体" w:cs="宋体"/>
          <w:sz w:val="28"/>
          <w:szCs w:val="28"/>
        </w:rPr>
        <w:t>发布程序和渠道，确保公文发布及时、准确、安全</w:t>
      </w:r>
      <w:r>
        <w:rPr>
          <w:rFonts w:hint="eastAsia" w:ascii="宋体" w:hAnsi="宋体" w:eastAsia="宋体" w:cs="宋体"/>
          <w:sz w:val="28"/>
          <w:szCs w:val="28"/>
          <w:lang w:eastAsia="zh-CN"/>
        </w:rPr>
        <w:t>。</w:t>
      </w:r>
      <w:r>
        <w:rPr>
          <w:rFonts w:hint="eastAsia" w:ascii="宋体" w:hAnsi="宋体" w:eastAsia="宋体" w:cs="宋体"/>
          <w:sz w:val="28"/>
          <w:szCs w:val="28"/>
        </w:rPr>
        <w:t>做到政策文件与解读材料同步起草、同步审签、同步发布。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在政府信息公开工作年度报告中公布重点领域信息公开情况，接受社会监督。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rPr>
        <w:t>3.</w:t>
      </w:r>
      <w:r>
        <w:rPr>
          <w:rFonts w:hint="eastAsia" w:ascii="宋体" w:hAnsi="宋体" w:eastAsia="宋体" w:cs="宋体"/>
          <w:sz w:val="28"/>
          <w:szCs w:val="28"/>
        </w:rPr>
        <w:t>“只跑一次”改革所涉系统</w:t>
      </w:r>
      <w:r>
        <w:rPr>
          <w:rFonts w:hint="eastAsia" w:ascii="宋体" w:hAnsi="宋体" w:eastAsia="宋体" w:cs="宋体"/>
          <w:sz w:val="28"/>
          <w:szCs w:val="28"/>
          <w:lang w:eastAsia="zh-CN"/>
        </w:rPr>
        <w:t>，计生系统已经实现网上办理。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4.已经召开全街道会议，</w:t>
      </w:r>
      <w:r>
        <w:rPr>
          <w:rFonts w:hint="eastAsia" w:ascii="宋体" w:hAnsi="宋体" w:eastAsia="宋体" w:cs="宋体"/>
          <w:sz w:val="28"/>
          <w:szCs w:val="28"/>
          <w:lang w:eastAsia="zh-CN"/>
        </w:rPr>
        <w:t>梳理的服务清单已经向村、社区公布。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5.城墙街道在十一前夕重新维修了政务服务中心，明确了计生、民政、劳动保障3个单位入驻中心。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8"/>
          <w:lang w:eastAsia="zh-CN"/>
        </w:rPr>
      </w:pPr>
      <w:r>
        <w:rPr>
          <w:rFonts w:hint="eastAsia" w:ascii="宋体" w:hAnsi="宋体" w:eastAsia="宋体" w:cs="宋体"/>
          <w:sz w:val="28"/>
          <w:szCs w:val="28"/>
          <w:lang w:val="en-US" w:eastAsia="zh-CN"/>
        </w:rPr>
        <w:t>6.街道正在</w:t>
      </w:r>
      <w:r>
        <w:rPr>
          <w:rFonts w:hint="eastAsia" w:ascii="宋体" w:hAnsi="宋体" w:eastAsia="宋体" w:cs="宋体"/>
          <w:b w:val="0"/>
          <w:bCs/>
          <w:sz w:val="28"/>
          <w:szCs w:val="28"/>
        </w:rPr>
        <w:t>完善政府信息主动公开目录</w:t>
      </w:r>
      <w:r>
        <w:rPr>
          <w:rFonts w:hint="eastAsia" w:ascii="宋体" w:hAnsi="宋体" w:eastAsia="宋体" w:cs="宋体"/>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7.街道已开展</w:t>
      </w:r>
      <w:r>
        <w:rPr>
          <w:rFonts w:hint="eastAsia" w:ascii="宋体" w:hAnsi="宋体" w:eastAsia="宋体" w:cs="宋体"/>
          <w:sz w:val="28"/>
          <w:szCs w:val="28"/>
        </w:rPr>
        <w:t>政务公开业务知识的教育和培训</w:t>
      </w:r>
      <w:r>
        <w:rPr>
          <w:rFonts w:hint="eastAsia" w:ascii="宋体" w:hAnsi="宋体" w:eastAsia="宋体" w:cs="宋体"/>
          <w:sz w:val="28"/>
          <w:szCs w:val="28"/>
          <w:lang w:eastAsia="zh-CN"/>
        </w:rPr>
        <w:t>。</w:t>
      </w:r>
    </w:p>
    <w:p>
      <w:pPr>
        <w:keepNext w:val="0"/>
        <w:keepLines w:val="0"/>
        <w:widowControl/>
        <w:suppressLineNumbers w:val="0"/>
        <w:spacing w:before="0" w:beforeAutospacing="0" w:after="0" w:afterAutospacing="0" w:line="432" w:lineRule="auto"/>
        <w:ind w:left="0" w:right="0" w:firstLine="420"/>
        <w:jc w:val="both"/>
        <w:rPr>
          <w:rFonts w:hint="eastAsia" w:ascii="宋体" w:hAnsi="宋体" w:eastAsia="宋体" w:cs="宋体"/>
          <w:color w:val="auto"/>
          <w:sz w:val="28"/>
          <w:szCs w:val="28"/>
        </w:rPr>
      </w:pP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02627"/>
    <w:rsid w:val="043A6097"/>
    <w:rsid w:val="05B92BFC"/>
    <w:rsid w:val="06117FF1"/>
    <w:rsid w:val="0AD80BDA"/>
    <w:rsid w:val="0C674139"/>
    <w:rsid w:val="0CE90560"/>
    <w:rsid w:val="0EB11124"/>
    <w:rsid w:val="0F2C410B"/>
    <w:rsid w:val="15FD1474"/>
    <w:rsid w:val="181B77D0"/>
    <w:rsid w:val="18A609A9"/>
    <w:rsid w:val="1EDC006A"/>
    <w:rsid w:val="1F037683"/>
    <w:rsid w:val="20F95B29"/>
    <w:rsid w:val="229137B6"/>
    <w:rsid w:val="28F4777B"/>
    <w:rsid w:val="2AAC0703"/>
    <w:rsid w:val="2B5C4512"/>
    <w:rsid w:val="2CDC31D5"/>
    <w:rsid w:val="2DB02627"/>
    <w:rsid w:val="2EFA4B81"/>
    <w:rsid w:val="2FCE0094"/>
    <w:rsid w:val="312736F9"/>
    <w:rsid w:val="37A66146"/>
    <w:rsid w:val="3D756CC6"/>
    <w:rsid w:val="487B5C69"/>
    <w:rsid w:val="4F0A769C"/>
    <w:rsid w:val="51986A35"/>
    <w:rsid w:val="531B5297"/>
    <w:rsid w:val="5C467692"/>
    <w:rsid w:val="5CD37FE8"/>
    <w:rsid w:val="5F663428"/>
    <w:rsid w:val="61926427"/>
    <w:rsid w:val="676B32D0"/>
    <w:rsid w:val="679215A8"/>
    <w:rsid w:val="68800F19"/>
    <w:rsid w:val="6DF3249F"/>
    <w:rsid w:val="6EBD5CDA"/>
    <w:rsid w:val="76DF7D89"/>
    <w:rsid w:val="7708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城墙街道"/>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06360655737705"/>
          <c:y val="0.131512660745062"/>
          <c:w val="0.859724590163934"/>
          <c:h val="0.630703963940077"/>
        </c:manualLayout>
      </c:layout>
      <c:lineChart>
        <c:grouping val="standard"/>
        <c:varyColors val="0"/>
        <c:ser>
          <c:idx val="0"/>
          <c:order val="0"/>
          <c:tx>
            <c:strRef>
              <c:f>Sheet1!$B$1</c:f>
              <c:strCache>
                <c:ptCount val="1"/>
                <c:pt idx="0">
                  <c:v>城墙街道2016年至2018年信息发布图表</c:v>
                </c:pt>
              </c:strCache>
            </c:strRef>
          </c:tx>
          <c:spPr>
            <a:ln w="28575" cap="rnd">
              <a:solidFill>
                <a:schemeClr val="accent2">
                  <a:shade val="65000"/>
                </a:schemeClr>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2016</c:v>
                </c:pt>
                <c:pt idx="1">
                  <c:v>2017</c:v>
                </c:pt>
                <c:pt idx="2">
                  <c:v>2018</c:v>
                </c:pt>
              </c:numCache>
            </c:numRef>
          </c:cat>
          <c:val>
            <c:numRef>
              <c:f>Sheet1!$B$2:$B$4</c:f>
              <c:numCache>
                <c:formatCode>General</c:formatCode>
                <c:ptCount val="3"/>
                <c:pt idx="0">
                  <c:v>35</c:v>
                </c:pt>
                <c:pt idx="1">
                  <c:v>65</c:v>
                </c:pt>
                <c:pt idx="2">
                  <c:v>116</c:v>
                </c:pt>
              </c:numCache>
            </c:numRef>
          </c:val>
          <c:smooth val="0"/>
        </c:ser>
        <c:dLbls>
          <c:showLegendKey val="0"/>
          <c:showVal val="1"/>
          <c:showCatName val="0"/>
          <c:showSerName val="0"/>
          <c:showPercent val="0"/>
          <c:showBubbleSize val="0"/>
        </c:dLbls>
        <c:marker val="0"/>
        <c:smooth val="0"/>
        <c:axId val="953274355"/>
        <c:axId val="183122587"/>
        <c:extLst>
          <c:ext xmlns:c15="http://schemas.microsoft.com/office/drawing/2012/chart" uri="{02D57815-91ED-43cb-92C2-25804820EDAC}">
            <c15:filteredLineSeries>
              <c15:ser>
                <c:idx val="1"/>
                <c:order val="1"/>
                <c:tx>
                  <c:strRef>
                    <c:extLst>
                      <c:ext uri="{02D57815-91ED-43cb-92C2-25804820EDAC}">
                        <c15:formulaRef>
                          <c15:sqref>Sheet1!#REF!</c15:sqref>
                        </c15:formulaRef>
                      </c:ext>
                    </c:extLst>
                    <c:strCache>
                      <c:ptCount val="1"/>
                      <c:pt idx="0">
                        <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Sheet1!$A$2:$A$4</c15:sqref>
                        </c15:formulaRef>
                      </c:ext>
                    </c:extLst>
                    <c:numCache>
                      <c:formatCode>General</c:formatCode>
                      <c:ptCount val="3"/>
                      <c:pt idx="0">
                        <c:v>2016</c:v>
                      </c:pt>
                      <c:pt idx="1">
                        <c:v>2017</c:v>
                      </c:pt>
                      <c:pt idx="2">
                        <c:v>2018</c:v>
                      </c:pt>
                    </c:numCache>
                  </c:numRef>
                </c:cat>
                <c:val>
                  <c:numRef>
                    <c:extLst>
                      <c:ext uri="{02D57815-91ED-43cb-92C2-25804820EDAC}">
                        <c15:formulaRef>
                          <c15:sqref>Sheet1!#REF!</c15:sqref>
                        </c15:formulaRef>
                      </c:ext>
                    </c:extLst>
                    <c:numCache>
                      <c:formatCode>General</c:formatCode>
                      <c:ptCount val="1"/>
                      <c:pt idx="0">
                        <c:v>1</c:v>
                      </c:pt>
                    </c:numCache>
                  </c:numRef>
                </c:val>
                <c:smooth val="0"/>
              </c15:ser>
            </c15:filteredLineSeries>
            <c15:filteredLineSeries>
              <c15:ser>
                <c:idx val="2"/>
                <c:order val="2"/>
                <c:tx>
                  <c:strRef>
                    <c:extLst>
                      <c:ext uri="{02D57815-91ED-43cb-92C2-25804820EDAC}">
                        <c15:formulaRef>
                          <c15:sqref>Sheet1!#REF!</c15:sqref>
                        </c15:formulaRef>
                      </c:ext>
                    </c:extLst>
                    <c:strCache>
                      <c:ptCount val="1"/>
                      <c:pt idx="0">
                        <c:v/>
                      </c:pt>
                    </c:strCache>
                  </c:strRef>
                </c:tx>
                <c:spPr>
                  <a:ln w="28575" cap="rnd">
                    <a:solidFill>
                      <a:schemeClr val="accent2">
                        <a:tint val="65000"/>
                      </a:schemeClr>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Sheet1!$A$2:$A$4</c15:sqref>
                        </c15:formulaRef>
                      </c:ext>
                    </c:extLst>
                    <c:numCache>
                      <c:formatCode>General</c:formatCode>
                      <c:ptCount val="3"/>
                      <c:pt idx="0">
                        <c:v>2016</c:v>
                      </c:pt>
                      <c:pt idx="1">
                        <c:v>2017</c:v>
                      </c:pt>
                      <c:pt idx="2">
                        <c:v>2018</c:v>
                      </c:pt>
                    </c:numCache>
                  </c:numRef>
                </c:cat>
                <c:val>
                  <c:numRef>
                    <c:extLst>
                      <c:ext uri="{02D57815-91ED-43cb-92C2-25804820EDAC}">
                        <c15:formulaRef>
                          <c15:sqref>Sheet1!#REF!</c15:sqref>
                        </c15:formulaRef>
                      </c:ext>
                    </c:extLst>
                    <c:numCache>
                      <c:formatCode>General</c:formatCode>
                      <c:ptCount val="1"/>
                      <c:pt idx="0">
                        <c:v>1</c:v>
                      </c:pt>
                    </c:numCache>
                  </c:numRef>
                </c:val>
                <c:smooth val="0"/>
              </c15:ser>
            </c15:filteredLineSeries>
          </c:ext>
        </c:extLst>
      </c:lineChart>
      <c:dateAx>
        <c:axId val="9532743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122587"/>
        <c:crosses val="autoZero"/>
        <c:auto val="0"/>
        <c:lblOffset val="100"/>
        <c:baseTimeUnit val="days"/>
      </c:dateAx>
      <c:valAx>
        <c:axId val="1831225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274355"/>
        <c:crosses val="autoZero"/>
        <c:crossBetween val="between"/>
      </c:valAx>
      <c:spPr>
        <a:noFill/>
        <a:ln>
          <a:noFill/>
        </a:ln>
        <a:effectLst/>
      </c:spPr>
    </c:plotArea>
    <c:legend>
      <c:legendPos val="r"/>
      <c:layout>
        <c:manualLayout>
          <c:xMode val="edge"/>
          <c:yMode val="edge"/>
          <c:x val="0.131672131147541"/>
          <c:y val="0.936895134561845"/>
          <c:w val="0.68655737704918"/>
          <c:h val="0.03579477661407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2019-01-11T07:29:00Z</dcterms:created>
  <dc:creator>mumu</dc:creator>
  <cp:lastModifiedBy>Administrator</cp:lastModifiedBy>
  <dcterms:modified xsi:type="dcterms:W3CDTF">2020-01-06T02:31:12Z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