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shd w:val="clear"/>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numPr>
          <w:ilvl w:val="0"/>
          <w:numId w:val="0"/>
        </w:numPr>
        <w:shd w:val="clear"/>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numPr>
          <w:ilvl w:val="0"/>
          <w:numId w:val="0"/>
        </w:numPr>
        <w:shd w:val="clear"/>
        <w:kinsoku/>
        <w:wordWrap/>
        <w:overflowPunct/>
        <w:topLinePunct w:val="0"/>
        <w:autoSpaceDE/>
        <w:autoSpaceDN/>
        <w:bidi w:val="0"/>
        <w:adjustRightInd/>
        <w:snapToGrid/>
        <w:spacing w:line="640" w:lineRule="exact"/>
        <w:jc w:val="center"/>
        <w:textAlignment w:val="auto"/>
        <w:rPr>
          <w:rFonts w:ascii="宋体" w:hAnsi="宋体" w:eastAsia="宋体" w:cs="宋体"/>
          <w:b/>
          <w:bCs/>
          <w:sz w:val="44"/>
          <w:szCs w:val="44"/>
        </w:rPr>
      </w:pPr>
      <w:bookmarkStart w:id="0" w:name="_GoBack"/>
      <w:r>
        <w:rPr>
          <w:rFonts w:ascii="宋体" w:hAnsi="宋体" w:eastAsia="宋体" w:cs="宋体"/>
          <w:b/>
          <w:bCs/>
          <w:sz w:val="44"/>
          <w:szCs w:val="44"/>
        </w:rPr>
        <w:t>政府信息公开工作年度报告</w:t>
      </w:r>
    </w:p>
    <w:bookmarkEnd w:id="0"/>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b/>
          <w:bCs/>
        </w:rPr>
        <w:t>一、总体情况</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江源街道按照区政府信息公开工作部署和要求，努力构建简洁廉洁高效的服务型政府，进一步提升服务意识与办事能力。努力营造良好工作作风和广泛公开的政府信息环境。具体工作由江源街道综合办公室负责，配备专业程序及人员，进一步制度化规范化开展常态工作。</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（一）明确程序，加强领导</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江源街道明确落实工作负责科室，负责人和工作流程，建立不同领导分管负责机制，通过层级上报，分类汇总，有效将问题分类化，具体化，提高解决效率，促进公开度透明度。</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（二）完善和探索信息公开系统</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进一步摸索信息公开系统功能和范围、内容、形式，加强日常维护和管理，明确政府信息公开性，完善填报准确性，定期自查，及时修改问题。进行内容不断更新，提高解决问题发展方向适配度。</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（三）切实做好保密工作</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严格按照“公开为原则，不公为例外”的要求，切实做好执行中的保密工作，确保信息公开中不发生泄密问题，切实保障公众的知情权、安全权、隐私权。</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b/>
          <w:bCs/>
        </w:rPr>
        <w:t>二、主动公开政府信息情况</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rPr>
                <w:rFonts w:hint="default"/>
                <w:lang w:val="en-US"/>
              </w:rPr>
            </w:pPr>
            <w:r>
              <w:rPr>
                <w:rFonts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b/>
          <w:bCs/>
        </w:rPr>
        <w:t>三、收到和处理政府信息公开申请情况</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p>
    <w:tbl>
      <w:tblPr>
        <w:tblStyle w:val="5"/>
        <w:tblW w:w="974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Lines="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vAlign w:val="center"/>
          </w:tcPr>
          <w:p>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tabs>
                <w:tab w:val="center" w:pos="345"/>
                <w:tab w:val="left" w:pos="542"/>
              </w:tabs>
              <w:spacing w:before="0" w:beforeAutospacing="1" w:after="0" w:afterLines="0" w:afterAutospacing="0"/>
              <w:ind w:left="0" w:right="0"/>
              <w:jc w:val="left"/>
              <w:rPr>
                <w:rFonts w:hint="default"/>
                <w:lang w:val="en-US"/>
              </w:rPr>
            </w:pPr>
            <w:r>
              <w:rPr>
                <w:rFonts w:hint="eastAsia" w:ascii="Calibri" w:hAnsi="Calibri" w:cs="Calibri"/>
                <w:kern w:val="0"/>
                <w:sz w:val="20"/>
                <w:szCs w:val="20"/>
                <w:lang w:val="en-US" w:eastAsia="zh-CN" w:bidi="ar"/>
              </w:rPr>
              <w:tab/>
            </w: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55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tabs>
                <w:tab w:val="left" w:pos="212"/>
                <w:tab w:val="center" w:pos="345"/>
              </w:tabs>
              <w:spacing w:before="0" w:beforeAutospacing="1" w:after="0" w:afterLines="0" w:afterAutospacing="0"/>
              <w:ind w:left="0" w:right="0"/>
              <w:jc w:val="left"/>
            </w:pPr>
            <w:r>
              <w:rPr>
                <w:rFonts w:hint="eastAsia" w:ascii="Calibri" w:hAnsi="Calibri" w:cs="Calibri"/>
                <w:kern w:val="0"/>
                <w:sz w:val="20"/>
                <w:szCs w:val="20"/>
                <w:lang w:val="en-US" w:eastAsia="zh-CN" w:bidi="ar"/>
              </w:rPr>
              <w:tab/>
            </w:r>
            <w:r>
              <w:rPr>
                <w:rFonts w:hint="eastAsia" w:ascii="Calibri" w:hAnsi="Calibri" w:cs="Calibri"/>
                <w:kern w:val="0"/>
                <w:sz w:val="20"/>
                <w:szCs w:val="20"/>
                <w:lang w:val="en-US" w:eastAsia="zh-CN" w:bidi="ar"/>
              </w:rPr>
              <w:t>0</w:t>
            </w:r>
            <w:r>
              <w:rPr>
                <w:rFonts w:hint="eastAsia" w:ascii="Calibri" w:hAnsi="Calibri" w:cs="Calibri"/>
                <w:kern w:val="0"/>
                <w:sz w:val="20"/>
                <w:szCs w:val="20"/>
                <w:lang w:val="en-US" w:eastAsia="zh-CN" w:bidi="ar"/>
              </w:rPr>
              <w:tab/>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both"/>
              <w:rPr>
                <w:rFonts w:hint="default" w:ascii="Calibri" w:hAnsi="Calibri" w:cs="Calibri" w:eastAsiaTheme="minorEastAsia"/>
                <w:kern w:val="0"/>
                <w:sz w:val="20"/>
                <w:szCs w:val="20"/>
                <w:lang w:val="en-US" w:eastAsia="zh-CN" w:bidi="ar"/>
              </w:rPr>
            </w:pPr>
            <w:r>
              <w:rPr>
                <w:rFonts w:hint="default" w:ascii="Calibri" w:hAnsi="Calibri" w:cs="Calibri" w:eastAsiaTheme="minorEastAsia"/>
                <w:kern w:val="0"/>
                <w:sz w:val="20"/>
                <w:szCs w:val="20"/>
                <w:lang w:val="en-US" w:eastAsia="zh-CN" w:bidi="ar"/>
              </w:rPr>
              <w:t> </w:t>
            </w:r>
          </w:p>
          <w:p>
            <w:pPr>
              <w:bidi w:val="0"/>
              <w:ind w:firstLine="221" w:firstLineChars="10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 xml:space="preserve">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center"/>
      </w:pP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b/>
          <w:bCs/>
        </w:rPr>
        <w:t>四、政府信息公开行政复议、行政诉讼情况</w:t>
      </w:r>
    </w:p>
    <w:p>
      <w:pPr>
        <w:keepNext w:val="0"/>
        <w:keepLines w:val="0"/>
        <w:widowControl/>
        <w:suppressLineNumbers w:val="0"/>
        <w:jc w:val="center"/>
      </w:pPr>
    </w:p>
    <w:tbl>
      <w:tblPr>
        <w:tblStyle w:val="5"/>
        <w:tblW w:w="9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both"/>
              <w:rPr>
                <w:rFonts w:hint="default"/>
                <w:lang w:val="en-US"/>
              </w:rPr>
            </w:pPr>
            <w:r>
              <w:rPr>
                <w:rFonts w:hint="eastAsia" w:ascii="黑体" w:hAnsi="宋体" w:eastAsia="黑体" w:cs="黑体"/>
                <w:kern w:val="2"/>
                <w:sz w:val="20"/>
                <w:szCs w:val="20"/>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 xml:space="preserve"> 0 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 xml:space="preserve"> 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 xml:space="preserve"> 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51" w:firstLineChars="100"/>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3"/>
        <w:keepNext w:val="0"/>
        <w:keepLines w:val="0"/>
        <w:widowControl/>
        <w:numPr>
          <w:ilvl w:val="0"/>
          <w:numId w:val="1"/>
        </w:numPr>
        <w:suppressLineNumbers w:val="0"/>
        <w:spacing w:before="0" w:beforeAutospacing="0" w:after="0" w:afterAutospacing="0"/>
        <w:ind w:left="0" w:firstLine="420"/>
        <w:jc w:val="both"/>
        <w:rPr>
          <w:rFonts w:hint="eastAsia" w:ascii="宋体" w:hAnsi="宋体" w:eastAsia="宋体" w:cs="宋体"/>
          <w:b/>
          <w:bCs/>
        </w:rPr>
      </w:pPr>
      <w:r>
        <w:rPr>
          <w:rFonts w:hint="eastAsia" w:ascii="宋体" w:hAnsi="宋体" w:eastAsia="宋体" w:cs="宋体"/>
          <w:b/>
          <w:bCs/>
        </w:rPr>
        <w:t>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pPr>
      <w:r>
        <w:rPr>
          <w:rFonts w:ascii="楷体" w:hAnsi="楷体" w:eastAsia="楷体" w:cs="楷体"/>
          <w:b w:val="0"/>
          <w:bCs w:val="0"/>
          <w:i w:val="0"/>
          <w:iCs w:val="0"/>
          <w:caps w:val="0"/>
          <w:color w:val="333333"/>
          <w:spacing w:val="0"/>
          <w:kern w:val="0"/>
          <w:sz w:val="24"/>
          <w:szCs w:val="24"/>
          <w:shd w:val="clear" w:fill="FFFFFF"/>
          <w:lang w:val="en-US" w:eastAsia="zh-CN" w:bidi="ar"/>
        </w:rPr>
        <w:t>（一）存在的问题：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pPr>
      <w:r>
        <w:rPr>
          <w:rFonts w:hint="eastAsia" w:ascii="宋体" w:hAnsi="宋体" w:eastAsia="宋体" w:cs="宋体"/>
          <w:i w:val="0"/>
          <w:iCs w:val="0"/>
          <w:caps w:val="0"/>
          <w:color w:val="000000"/>
          <w:spacing w:val="0"/>
          <w:kern w:val="0"/>
          <w:sz w:val="24"/>
          <w:szCs w:val="24"/>
          <w:shd w:val="clear" w:fill="FFFFFF"/>
          <w:lang w:val="en-US" w:eastAsia="zh-CN" w:bidi="ar"/>
        </w:rPr>
        <w:t>   一是工作人员时有变动，政务公开工作延续衔接需要做好；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pPr>
      <w:r>
        <w:rPr>
          <w:rFonts w:hint="eastAsia" w:ascii="宋体" w:hAnsi="宋体" w:eastAsia="宋体" w:cs="宋体"/>
          <w:i w:val="0"/>
          <w:iCs w:val="0"/>
          <w:caps w:val="0"/>
          <w:color w:val="000000"/>
          <w:spacing w:val="0"/>
          <w:kern w:val="0"/>
          <w:sz w:val="24"/>
          <w:szCs w:val="24"/>
          <w:shd w:val="clear" w:fill="FFFFFF"/>
          <w:lang w:val="en-US" w:eastAsia="zh-CN" w:bidi="ar"/>
        </w:rPr>
        <w:t>   二是提高重视程度，主动公开率还需要进一步提高；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pPr>
      <w:r>
        <w:rPr>
          <w:rFonts w:hint="eastAsia" w:ascii="宋体" w:hAnsi="宋体" w:eastAsia="宋体" w:cs="宋体"/>
          <w:i w:val="0"/>
          <w:iCs w:val="0"/>
          <w:caps w:val="0"/>
          <w:color w:val="000000"/>
          <w:spacing w:val="0"/>
          <w:kern w:val="0"/>
          <w:sz w:val="24"/>
          <w:szCs w:val="24"/>
          <w:shd w:val="clear" w:fill="FFFFFF"/>
          <w:lang w:val="en-US" w:eastAsia="zh-CN" w:bidi="ar"/>
        </w:rPr>
        <w:t>   三是对先进信息技术的应用重视不够。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  </w:t>
      </w:r>
      <w:r>
        <w:rPr>
          <w:rFonts w:hint="eastAsia" w:ascii="楷体" w:hAnsi="楷体" w:eastAsia="楷体" w:cs="楷体"/>
          <w:b w:val="0"/>
          <w:bCs w:val="0"/>
          <w:i w:val="0"/>
          <w:iCs w:val="0"/>
          <w:caps w:val="0"/>
          <w:color w:val="333333"/>
          <w:spacing w:val="0"/>
          <w:kern w:val="0"/>
          <w:sz w:val="24"/>
          <w:szCs w:val="24"/>
          <w:shd w:val="clear" w:fill="FFFFFF"/>
          <w:lang w:val="en-US" w:eastAsia="zh-CN" w:bidi="ar"/>
        </w:rPr>
        <w:t>（二）改进情况：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87"/>
        <w:jc w:val="both"/>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一是明确了政府信息公开工作责任科室和负责人，配备专职人员开展工作。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87"/>
        <w:jc w:val="both"/>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二是提高对政府信息公开工作的重视程度，进一步解放思想，加强学习，完善和拓展政府信息公开的内容及形式，拓展政府信息公开范围，提升本街道政务公开业务水平；重点推进与经济社会发展和群众生活密切相关的政府信息公开，除制发的公文类文件外，其他由街道生成的对社会公众有指导或帮助意义的信息也纳入信息公开的范畴之中予以发布，做到应公开尽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三是</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提高信息化水平，重视新媒体的应用,新媒体在传播理念、传播方式和传播技术等方面具有很大特点，运用好微信公众号可以更好的与社会公众互动，和政府网站起到互补的作用。更容易收集到人民群众的真实意见和建议，推动政府信息公开更好发展。</w:t>
      </w:r>
    </w:p>
    <w:p>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b/>
          <w:bCs/>
        </w:rPr>
        <w:t>六、其他需要报告的事项</w:t>
      </w:r>
    </w:p>
    <w:p>
      <w:pPr>
        <w:pStyle w:val="3"/>
        <w:keepNext w:val="0"/>
        <w:keepLines w:val="0"/>
        <w:widowControl/>
        <w:suppressLineNumbers w:val="0"/>
        <w:spacing w:before="0" w:beforeAutospacing="0" w:after="0" w:afterAutospacing="0"/>
        <w:ind w:left="0" w:firstLine="420"/>
        <w:jc w:val="left"/>
        <w:rPr>
          <w:rFonts w:hint="eastAsia" w:eastAsiaTheme="minorEastAsia"/>
          <w:lang w:val="en-US" w:eastAsia="zh-CN"/>
        </w:rPr>
      </w:pPr>
      <w:r>
        <w:rPr>
          <w:rFonts w:hint="eastAsia"/>
          <w:lang w:val="en-US" w:eastAsia="zh-CN"/>
        </w:rPr>
        <w:t>无</w:t>
      </w:r>
    </w:p>
    <w:p/>
    <w:sectPr>
      <w:footerReference r:id="rId3" w:type="default"/>
      <w:pgSz w:w="11906" w:h="16838"/>
      <w:pgMar w:top="2098" w:right="1474" w:bottom="1984" w:left="1587" w:header="851" w:footer="992" w:gutter="0"/>
      <w:pgNumType w:fmt="decimal"/>
      <w:cols w:space="0" w:num="1"/>
      <w:rtlGutter w:val="0"/>
      <w:docGrid w:type="linesAndChars" w:linePitch="57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-340360</wp:posOffset>
              </wp:positionV>
              <wp:extent cx="1009015" cy="4864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9015" cy="486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6.8pt;height:38.3pt;width:79.45pt;mso-position-horizontal:outside;mso-position-horizontal-relative:margin;z-index:251659264;mso-width-relative:page;mso-height-relative:page;" filled="f" stroked="f" coordsize="21600,21600" o:gfxdata="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N1KQNcAAAAHAQAA&#10;DwAAAAAAAAABACAAAAAiAAAAZHJzL2Rvd25yZXYueG1sUEsBAhQAFAAAAAgAh07iQLLKmgAaAgAA&#10;FAQAAA4AAAAAAAAAAQAgAAAAJgEAAGRycy9lMm9Eb2MueG1sUEsFBgAAAAAGAAYAWQEAALIFAAAA&#10;AA==&#10;">
              <v:fill on="f" focussize="0,0"/>
              <v:stroke on="f" weight="0.5pt"/>
              <v:imagedata o:title=""/>
              <o:lock v:ext="edit" aspectratio="f"/>
              <v:textbox inset="0mm,0mm,0mm,0mm">
                <w:txbxContent>
                  <w:p>
                    <w:pPr>
                      <w:pStyle w:val="2"/>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66C9"/>
    <w:multiLevelType w:val="singleLevel"/>
    <w:tmpl w:val="208C66C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ZDkwYjdkN2E4MTZmMzVjZmMwZTBhOGY1ODkyYWEifQ=="/>
  </w:docVars>
  <w:rsids>
    <w:rsidRoot w:val="00000000"/>
    <w:rsid w:val="25B7750B"/>
    <w:rsid w:val="30DA40C2"/>
    <w:rsid w:val="3B68249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773</Words>
  <Characters>792</Characters>
  <Lines>0</Lines>
  <Paragraphs>0</Paragraphs>
  <TotalTime>0</TotalTime>
  <ScaleCrop>false</ScaleCrop>
  <LinksUpToDate>false</LinksUpToDate>
  <CharactersWithSpaces>993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2023-02-07T01:35:14Z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EFD8551CA77841E79B7348116B7843BC</vt:lpwstr>
  </property>
</Properties>
</file>