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b/>
          <w:i w:val="0"/>
          <w:caps w:val="0"/>
          <w:color w:val="auto"/>
          <w:spacing w:val="0"/>
          <w:sz w:val="24"/>
          <w:szCs w:val="24"/>
          <w:lang w:eastAsia="zh-CN"/>
        </w:rPr>
      </w:pPr>
      <w:r>
        <w:rPr>
          <w:rFonts w:hint="eastAsia" w:ascii="方正小标宋简体" w:hAnsi="方正小标宋简体" w:eastAsia="方正小标宋简体" w:cs="方正小标宋简体"/>
          <w:b/>
          <w:i w:val="0"/>
          <w:caps w:val="0"/>
          <w:color w:val="auto"/>
          <w:spacing w:val="0"/>
          <w:sz w:val="36"/>
          <w:szCs w:val="36"/>
          <w:lang w:val="en-US" w:eastAsia="zh-CN"/>
        </w:rPr>
        <w:t>江源街道办事处2019年</w:t>
      </w:r>
      <w:r>
        <w:rPr>
          <w:rFonts w:hint="eastAsia" w:ascii="方正小标宋简体" w:hAnsi="方正小标宋简体" w:eastAsia="方正小标宋简体" w:cs="方正小标宋简体"/>
          <w:b/>
          <w:i w:val="0"/>
          <w:caps w:val="0"/>
          <w:color w:val="auto"/>
          <w:spacing w:val="0"/>
          <w:sz w:val="36"/>
          <w:szCs w:val="36"/>
        </w:rPr>
        <w:t>政府信息公开工作年度报告</w:t>
      </w:r>
    </w:p>
    <w:p>
      <w:pPr>
        <w:pStyle w:val="4"/>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both"/>
        <w:rPr>
          <w:rStyle w:val="6"/>
          <w:rFonts w:hint="eastAsia" w:ascii="微软雅黑" w:hAnsi="微软雅黑" w:eastAsia="微软雅黑" w:cs="微软雅黑"/>
          <w:i w:val="0"/>
          <w:caps w:val="0"/>
          <w:color w:val="auto"/>
          <w:spacing w:val="8"/>
          <w:sz w:val="27"/>
          <w:szCs w:val="27"/>
          <w:lang w:val="en-US" w:eastAsia="zh-CN"/>
        </w:rPr>
      </w:pPr>
    </w:p>
    <w:p>
      <w:pPr>
        <w:pStyle w:val="4"/>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432" w:lineRule="atLeast"/>
        <w:ind w:leftChars="200" w:right="0"/>
        <w:jc w:val="both"/>
        <w:rPr>
          <w:rStyle w:val="6"/>
          <w:rFonts w:hint="eastAsia" w:ascii="微软雅黑" w:hAnsi="微软雅黑" w:eastAsia="微软雅黑" w:cs="微软雅黑"/>
          <w:i w:val="0"/>
          <w:caps w:val="0"/>
          <w:color w:val="auto"/>
          <w:spacing w:val="8"/>
          <w:sz w:val="27"/>
          <w:szCs w:val="27"/>
        </w:rPr>
      </w:pPr>
      <w:r>
        <w:rPr>
          <w:rStyle w:val="6"/>
          <w:rFonts w:hint="eastAsia" w:ascii="微软雅黑" w:hAnsi="微软雅黑" w:eastAsia="微软雅黑" w:cs="微软雅黑"/>
          <w:i w:val="0"/>
          <w:caps w:val="0"/>
          <w:color w:val="auto"/>
          <w:spacing w:val="8"/>
          <w:sz w:val="27"/>
          <w:szCs w:val="27"/>
          <w:lang w:val="en-US" w:eastAsia="zh-CN"/>
        </w:rPr>
        <w:t xml:space="preserve">  </w:t>
      </w:r>
      <w:r>
        <w:rPr>
          <w:rStyle w:val="6"/>
          <w:rFonts w:hint="eastAsia" w:ascii="微软雅黑" w:hAnsi="微软雅黑" w:eastAsia="微软雅黑" w:cs="微软雅黑"/>
          <w:i w:val="0"/>
          <w:caps w:val="0"/>
          <w:color w:val="auto"/>
          <w:spacing w:val="8"/>
          <w:sz w:val="27"/>
          <w:szCs w:val="27"/>
          <w:lang w:eastAsia="zh-CN"/>
        </w:rPr>
        <w:t>一、</w:t>
      </w:r>
      <w:r>
        <w:rPr>
          <w:rStyle w:val="6"/>
          <w:rFonts w:hint="eastAsia" w:ascii="微软雅黑" w:hAnsi="微软雅黑" w:eastAsia="微软雅黑" w:cs="微软雅黑"/>
          <w:i w:val="0"/>
          <w:caps w:val="0"/>
          <w:color w:val="auto"/>
          <w:spacing w:val="8"/>
          <w:sz w:val="27"/>
          <w:szCs w:val="27"/>
        </w:rPr>
        <w:t>总体情况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江源街道始终规范开展政府信息公开工作。严格按照信息公开工作“公开为原则，不公开为例外”的要求认真执行，并始终做好保密工作，做到“上网信息不涉密，涉密信息不上网”，确保在做好信息公开工作中不发生失泄密问题。具体工作由街道政务办公室负责日常政府信息公开工作，配备人员，确保工作有序开展。目前，这些工作均已形成制度化，成为街道政府信息公开的常态工作。具体情况如下：</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lang w:eastAsia="zh-CN"/>
        </w:rPr>
        <w:t>加强领导、认真落实。</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街道严格落实政府信息公开工作，明确工作负责科室、负责人和工作流程。建立“主要领导亲自抓、分管领导具体抓、职能部门抓落实的”工作机制。要求各办公室将可以公开的工作信息、发文及时报政务办，政务办对上报信息及时整理归类，并予以公开。使政府信息公开工作成为一种自觉的意识和行为。</w:t>
      </w:r>
    </w:p>
    <w:p>
      <w:pPr>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（二）积极参加学习，切实增强工作能力</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　　派员参加由市政数局组织的政务信息公开培训学习。不断提升工作能力，转变工作作风，提高服务质量和工作效率。</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（三）政府信息公开情况</w:t>
      </w:r>
    </w:p>
    <w:p>
      <w:pPr>
        <w:rPr>
          <w:rStyle w:val="6"/>
          <w:rFonts w:hint="eastAsia" w:ascii="仿宋_GB2312" w:hAnsi="仿宋_GB2312" w:eastAsia="仿宋_GB2312" w:cs="仿宋_GB2312"/>
          <w:i w:val="0"/>
          <w:caps w:val="0"/>
          <w:color w:val="auto"/>
          <w:spacing w:val="8"/>
          <w:sz w:val="27"/>
          <w:szCs w:val="27"/>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江源街道共制发公文类政府文件</w:t>
      </w:r>
      <w:r>
        <w:rPr>
          <w:rFonts w:hint="eastAsia" w:ascii="仿宋" w:hAnsi="仿宋" w:eastAsia="仿宋" w:cs="仿宋"/>
          <w:sz w:val="32"/>
          <w:szCs w:val="32"/>
          <w:lang w:val="en-US" w:eastAsia="zh-CN"/>
        </w:rPr>
        <w:t>110</w:t>
      </w:r>
      <w:r>
        <w:rPr>
          <w:rFonts w:hint="eastAsia" w:ascii="仿宋" w:hAnsi="仿宋" w:eastAsia="仿宋" w:cs="仿宋"/>
          <w:sz w:val="32"/>
          <w:szCs w:val="32"/>
          <w:lang w:eastAsia="zh-CN"/>
        </w:rPr>
        <w:t>件，通过政府信息公开系统主动公开政府信息</w:t>
      </w:r>
      <w:r>
        <w:rPr>
          <w:rFonts w:hint="eastAsia" w:ascii="仿宋" w:hAnsi="仿宋" w:eastAsia="仿宋" w:cs="仿宋"/>
          <w:sz w:val="32"/>
          <w:szCs w:val="32"/>
          <w:lang w:val="en-US" w:eastAsia="zh-CN"/>
        </w:rPr>
        <w:t>52</w:t>
      </w:r>
      <w:r>
        <w:rPr>
          <w:rFonts w:hint="eastAsia" w:ascii="仿宋" w:hAnsi="仿宋" w:eastAsia="仿宋" w:cs="仿宋"/>
          <w:sz w:val="32"/>
          <w:szCs w:val="32"/>
          <w:lang w:eastAsia="zh-CN"/>
        </w:rPr>
        <w:t>件，占制发文件总数的4</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27</w:t>
      </w:r>
      <w:r>
        <w:rPr>
          <w:rFonts w:hint="eastAsia" w:ascii="仿宋" w:hAnsi="仿宋" w:eastAsia="仿宋" w:cs="仿宋"/>
          <w:sz w:val="32"/>
          <w:szCs w:val="32"/>
          <w:lang w:eastAsia="zh-CN"/>
        </w:rPr>
        <w:t>%，全文电子化率达到1</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0%。目前，江源街道未收到社会公众提出的政府信息公开申请，也未发生被行政复议、行政诉讼的情况。</w:t>
      </w:r>
    </w:p>
    <w:p>
      <w:pPr>
        <w:pStyle w:val="4"/>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572" w:firstLineChars="200"/>
        <w:jc w:val="both"/>
        <w:rPr>
          <w:rStyle w:val="6"/>
          <w:rFonts w:hint="eastAsia" w:ascii="微软雅黑" w:hAnsi="微软雅黑" w:eastAsia="微软雅黑" w:cs="微软雅黑"/>
          <w:i w:val="0"/>
          <w:caps w:val="0"/>
          <w:color w:val="auto"/>
          <w:spacing w:val="8"/>
          <w:sz w:val="27"/>
          <w:szCs w:val="27"/>
        </w:rPr>
      </w:pPr>
      <w:r>
        <w:rPr>
          <w:rStyle w:val="6"/>
          <w:rFonts w:hint="eastAsia" w:ascii="微软雅黑" w:hAnsi="微软雅黑" w:eastAsia="微软雅黑" w:cs="微软雅黑"/>
          <w:i w:val="0"/>
          <w:caps w:val="0"/>
          <w:color w:val="auto"/>
          <w:spacing w:val="8"/>
          <w:sz w:val="27"/>
          <w:szCs w:val="27"/>
        </w:rPr>
        <w:t>主动公开政府信息情况</w:t>
      </w:r>
    </w:p>
    <w:tbl>
      <w:tblPr>
        <w:tblW w:w="8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13"/>
        <w:gridCol w:w="1875"/>
        <w:gridCol w:w="6"/>
        <w:gridCol w:w="1265"/>
        <w:gridCol w:w="1881"/>
      </w:tblGrid>
      <w:tr>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第二十条第（一）项</w:t>
            </w:r>
          </w:p>
        </w:tc>
      </w:tr>
      <w:tr>
        <w:trPr>
          <w:trHeight w:val="882"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信息内容</w:t>
            </w:r>
          </w:p>
        </w:tc>
        <w:tc>
          <w:tcPr>
            <w:tcW w:w="187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本年新</w:t>
            </w:r>
            <w:r>
              <w:rPr>
                <w:rFonts w:hint="eastAsia" w:ascii="宋体" w:hAnsi="宋体" w:eastAsia="宋体" w:cs="宋体"/>
                <w:color w:val="auto"/>
                <w:kern w:val="0"/>
                <w:sz w:val="20"/>
                <w:szCs w:val="20"/>
                <w:lang w:val="en-US" w:eastAsia="zh-CN"/>
              </w:rPr>
              <w:br/>
            </w:r>
            <w:r>
              <w:rPr>
                <w:rFonts w:ascii="Calibri" w:hAnsi="Calibri" w:eastAsia="宋体" w:cs="黑体"/>
                <w:color w:val="auto"/>
                <w:kern w:val="0"/>
                <w:sz w:val="20"/>
                <w:szCs w:val="20"/>
                <w:lang w:val="en-US" w:eastAsia="zh-CN"/>
              </w:rPr>
              <w:t>制作数量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本年新</w:t>
            </w:r>
            <w:r>
              <w:rPr>
                <w:rFonts w:hint="eastAsia" w:ascii="宋体" w:hAnsi="宋体" w:eastAsia="宋体" w:cs="宋体"/>
                <w:color w:val="auto"/>
                <w:kern w:val="0"/>
                <w:sz w:val="20"/>
                <w:szCs w:val="20"/>
                <w:lang w:val="en-US" w:eastAsia="zh-CN"/>
              </w:rPr>
              <w:br/>
            </w:r>
            <w:r>
              <w:rPr>
                <w:rFonts w:ascii="Calibri" w:hAnsi="Calibri" w:eastAsia="宋体" w:cs="黑体"/>
                <w:color w:val="auto"/>
                <w:kern w:val="0"/>
                <w:sz w:val="20"/>
                <w:szCs w:val="20"/>
                <w:lang w:val="en-US" w:eastAsia="zh-CN"/>
              </w:rPr>
              <w:t>公开数量</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对外公开总数量</w:t>
            </w:r>
          </w:p>
        </w:tc>
      </w:tr>
      <w:tr>
        <w:trPr>
          <w:trHeight w:val="523"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规章</w:t>
            </w:r>
          </w:p>
        </w:tc>
        <w:tc>
          <w:tcPr>
            <w:tcW w:w="187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r>
      <w:tr>
        <w:trPr>
          <w:trHeight w:val="471"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规范性文件</w:t>
            </w:r>
            <w:bookmarkStart w:id="0" w:name="_GoBack"/>
            <w:bookmarkEnd w:id="0"/>
          </w:p>
        </w:tc>
        <w:tc>
          <w:tcPr>
            <w:tcW w:w="187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110</w:t>
            </w:r>
          </w:p>
        </w:tc>
        <w:tc>
          <w:tcPr>
            <w:tcW w:w="1271"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52</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52</w:t>
            </w:r>
          </w:p>
        </w:tc>
      </w:tr>
      <w:tr>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第二十条第（五）项</w:t>
            </w:r>
          </w:p>
        </w:tc>
      </w:tr>
      <w:tr>
        <w:trPr>
          <w:trHeight w:val="634"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信息内容</w:t>
            </w:r>
          </w:p>
        </w:tc>
        <w:tc>
          <w:tcPr>
            <w:tcW w:w="187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上一年项目数量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本年增/减</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处理决定数量</w:t>
            </w:r>
          </w:p>
        </w:tc>
      </w:tr>
      <w:tr>
        <w:trPr>
          <w:trHeight w:val="528"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行政许可</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126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r>
      <w:tr>
        <w:trPr>
          <w:trHeight w:val="550"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其他对外管理服务事项</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126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r>
      <w:tr>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第二十条第（六）项</w:t>
            </w:r>
          </w:p>
        </w:tc>
      </w:tr>
      <w:tr>
        <w:trPr>
          <w:trHeight w:val="634"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信息内容</w:t>
            </w:r>
          </w:p>
        </w:tc>
        <w:tc>
          <w:tcPr>
            <w:tcW w:w="187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上一年项目数量</w:t>
            </w:r>
          </w:p>
        </w:tc>
        <w:tc>
          <w:tcPr>
            <w:tcW w:w="1271" w:type="dxa"/>
            <w:gridSpan w:val="2"/>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本年增/减</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处理决定数量</w:t>
            </w:r>
          </w:p>
        </w:tc>
      </w:tr>
      <w:tr>
        <w:trPr>
          <w:trHeight w:val="430"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行政处罚</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126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r>
      <w:tr>
        <w:trPr>
          <w:trHeight w:val="409"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行政强制</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126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188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r>
      <w:tr>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第二十条第（八）项</w:t>
            </w:r>
          </w:p>
        </w:tc>
      </w:tr>
      <w:tr>
        <w:trPr>
          <w:trHeight w:val="270"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信息内容</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上一年项目数量</w:t>
            </w:r>
          </w:p>
        </w:tc>
        <w:tc>
          <w:tcPr>
            <w:tcW w:w="3146" w:type="dxa"/>
            <w:gridSpan w:val="2"/>
            <w:tcBorders>
              <w:top w:val="single" w:color="auto" w:sz="8" w:space="0"/>
              <w:left w:val="nil"/>
              <w:bottom w:val="single" w:color="auto" w:sz="8" w:space="0"/>
              <w:right w:val="single" w:color="000000"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本年增/减</w:t>
            </w:r>
          </w:p>
        </w:tc>
      </w:tr>
      <w:tr>
        <w:trPr>
          <w:trHeight w:val="551"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行政事业性收费</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3146" w:type="dxa"/>
            <w:gridSpan w:val="2"/>
            <w:tcBorders>
              <w:top w:val="nil"/>
              <w:left w:val="nil"/>
              <w:bottom w:val="single" w:color="auto" w:sz="8" w:space="0"/>
              <w:right w:val="single" w:color="000000"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r>
      <w:tr>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第二十条第（九）项</w:t>
            </w:r>
          </w:p>
        </w:tc>
      </w:tr>
      <w:tr>
        <w:trPr>
          <w:trHeight w:val="585"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信息内容</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采购项目数量</w:t>
            </w:r>
          </w:p>
        </w:tc>
        <w:tc>
          <w:tcPr>
            <w:tcW w:w="3146" w:type="dxa"/>
            <w:gridSpan w:val="2"/>
            <w:tcBorders>
              <w:top w:val="single" w:color="auto" w:sz="8" w:space="0"/>
              <w:left w:val="nil"/>
              <w:bottom w:val="single" w:color="auto" w:sz="8" w:space="0"/>
              <w:right w:val="single" w:color="000000"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采购总金额</w:t>
            </w:r>
          </w:p>
        </w:tc>
      </w:tr>
      <w:tr>
        <w:trPr>
          <w:trHeight w:val="539" w:hRule="atLeast"/>
          <w:jc w:val="center"/>
        </w:trPr>
        <w:tc>
          <w:tcPr>
            <w:tcW w:w="3113"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政府集中采购</w:t>
            </w:r>
          </w:p>
        </w:tc>
        <w:tc>
          <w:tcPr>
            <w:tcW w:w="1881"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r>
              <w:rPr>
                <w:rFonts w:hint="eastAsia" w:ascii="宋体" w:hAnsi="宋体" w:cs="宋体"/>
                <w:color w:val="auto"/>
                <w:kern w:val="0"/>
                <w:sz w:val="20"/>
                <w:szCs w:val="20"/>
                <w:lang w:val="en-US" w:eastAsia="zh-CN"/>
              </w:rPr>
              <w:t>0</w:t>
            </w:r>
          </w:p>
        </w:tc>
        <w:tc>
          <w:tcPr>
            <w:tcW w:w="3146" w:type="dxa"/>
            <w:gridSpan w:val="2"/>
            <w:tcBorders>
              <w:top w:val="nil"/>
              <w:left w:val="nil"/>
              <w:bottom w:val="single" w:color="auto" w:sz="8" w:space="0"/>
              <w:right w:val="single" w:color="000000" w:sz="8" w:space="0"/>
            </w:tcBorders>
            <w:tcMar>
              <w:left w:w="108" w:type="dxa"/>
              <w:right w:w="108" w:type="dxa"/>
            </w:tcMar>
            <w:vAlign w:val="center"/>
          </w:tcPr>
          <w:p>
            <w:pPr>
              <w:jc w:val="center"/>
              <w:rPr>
                <w:rFonts w:hint="eastAsia" w:ascii="宋体" w:eastAsia="宋体"/>
                <w:color w:val="auto"/>
                <w:sz w:val="24"/>
                <w:szCs w:val="24"/>
                <w:lang w:val="en-US" w:eastAsia="zh-CN"/>
              </w:rPr>
            </w:pPr>
            <w:r>
              <w:rPr>
                <w:rFonts w:hint="eastAsia" w:ascii="宋体"/>
                <w:color w:val="auto"/>
                <w:sz w:val="24"/>
                <w:szCs w:val="24"/>
                <w:lang w:val="en-US" w:eastAsia="zh-CN"/>
              </w:rPr>
              <w:t>0</w:t>
            </w:r>
          </w:p>
        </w:tc>
      </w:tr>
    </w:tbl>
    <w:p>
      <w:pPr>
        <w:pStyle w:val="4"/>
        <w:widowControl/>
        <w:numPr>
          <w:numId w:val="0"/>
        </w:numPr>
        <w:pBdr>
          <w:top w:val="none" w:color="auto" w:sz="0" w:space="0"/>
          <w:left w:val="none" w:color="auto" w:sz="0" w:space="0"/>
          <w:bottom w:val="none" w:color="auto" w:sz="0" w:space="0"/>
          <w:right w:val="none" w:color="auto" w:sz="0" w:space="0"/>
        </w:pBdr>
        <w:ind w:right="0" w:firstLine="572" w:firstLineChars="200"/>
        <w:jc w:val="both"/>
        <w:rPr>
          <w:rStyle w:val="6"/>
          <w:rFonts w:hint="eastAsia" w:ascii="微软雅黑" w:hAnsi="微软雅黑" w:eastAsia="微软雅黑" w:cs="微软雅黑"/>
          <w:i w:val="0"/>
          <w:caps w:val="0"/>
          <w:color w:val="auto"/>
          <w:spacing w:val="8"/>
          <w:sz w:val="27"/>
          <w:szCs w:val="27"/>
          <w:lang w:val="en-US" w:eastAsia="zh-CN"/>
        </w:rPr>
      </w:pPr>
    </w:p>
    <w:p>
      <w:pPr>
        <w:pStyle w:val="4"/>
        <w:widowControl/>
        <w:numPr>
          <w:numId w:val="0"/>
        </w:numPr>
        <w:pBdr>
          <w:top w:val="none" w:color="auto" w:sz="0" w:space="0"/>
          <w:left w:val="none" w:color="auto" w:sz="0" w:space="0"/>
          <w:bottom w:val="none" w:color="auto" w:sz="0" w:space="0"/>
          <w:right w:val="none" w:color="auto" w:sz="0" w:space="0"/>
        </w:pBdr>
        <w:ind w:right="0" w:firstLine="572" w:firstLineChars="200"/>
        <w:jc w:val="both"/>
        <w:rPr>
          <w:rStyle w:val="6"/>
          <w:rFonts w:hint="eastAsia" w:ascii="微软雅黑" w:hAnsi="微软雅黑" w:eastAsia="微软雅黑" w:cs="微软雅黑"/>
          <w:i w:val="0"/>
          <w:caps w:val="0"/>
          <w:color w:val="auto"/>
          <w:spacing w:val="8"/>
          <w:sz w:val="27"/>
          <w:szCs w:val="27"/>
          <w:lang w:val="en-US" w:eastAsia="zh-CN"/>
        </w:rPr>
      </w:pPr>
    </w:p>
    <w:p>
      <w:pPr>
        <w:pStyle w:val="4"/>
        <w:widowControl/>
        <w:numPr>
          <w:numId w:val="0"/>
        </w:numPr>
        <w:pBdr>
          <w:top w:val="none" w:color="auto" w:sz="0" w:space="0"/>
          <w:left w:val="none" w:color="auto" w:sz="0" w:space="0"/>
          <w:bottom w:val="none" w:color="auto" w:sz="0" w:space="0"/>
          <w:right w:val="none" w:color="auto" w:sz="0" w:space="0"/>
        </w:pBdr>
        <w:ind w:right="0" w:firstLine="572" w:firstLineChars="200"/>
        <w:jc w:val="both"/>
        <w:rPr>
          <w:rFonts w:hint="eastAsia" w:ascii="宋体" w:hAnsi="宋体" w:eastAsia="宋体" w:cs="宋体"/>
          <w:b/>
          <w:i w:val="0"/>
          <w:caps w:val="0"/>
          <w:color w:val="auto"/>
          <w:spacing w:val="0"/>
          <w:sz w:val="24"/>
          <w:szCs w:val="24"/>
        </w:rPr>
      </w:pPr>
      <w:r>
        <w:rPr>
          <w:rStyle w:val="6"/>
          <w:rFonts w:hint="eastAsia" w:ascii="微软雅黑" w:hAnsi="微软雅黑" w:eastAsia="微软雅黑" w:cs="微软雅黑"/>
          <w:i w:val="0"/>
          <w:caps w:val="0"/>
          <w:color w:val="auto"/>
          <w:spacing w:val="8"/>
          <w:sz w:val="27"/>
          <w:szCs w:val="27"/>
          <w:lang w:val="en-US" w:eastAsia="zh-CN"/>
        </w:rPr>
        <w:t>三、</w:t>
      </w:r>
      <w:r>
        <w:rPr>
          <w:rStyle w:val="6"/>
          <w:rFonts w:hint="eastAsia" w:ascii="微软雅黑" w:hAnsi="微软雅黑" w:eastAsia="微软雅黑" w:cs="微软雅黑"/>
          <w:i w:val="0"/>
          <w:caps w:val="0"/>
          <w:color w:val="auto"/>
          <w:spacing w:val="8"/>
          <w:sz w:val="27"/>
          <w:szCs w:val="27"/>
        </w:rPr>
        <w:t>收到和处理政府信息公开申请情况</w:t>
      </w: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申请人情况</w:t>
            </w:r>
          </w:p>
        </w:tc>
      </w:tr>
      <w:tr>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13" w:type="dxa"/>
            <w:vMerge w:val="restart"/>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自然人</w:t>
            </w:r>
          </w:p>
        </w:tc>
        <w:tc>
          <w:tcPr>
            <w:tcW w:w="400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法人或其他组织</w:t>
            </w:r>
          </w:p>
        </w:tc>
        <w:tc>
          <w:tcPr>
            <w:tcW w:w="695"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总计</w:t>
            </w:r>
          </w:p>
        </w:tc>
      </w:tr>
      <w:tr>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13"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商业企业</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科研机构</w:t>
            </w:r>
          </w:p>
        </w:tc>
        <w:tc>
          <w:tcPr>
            <w:tcW w:w="813"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社会公益组织</w:t>
            </w:r>
          </w:p>
        </w:tc>
        <w:tc>
          <w:tcPr>
            <w:tcW w:w="973"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法律服务机构</w:t>
            </w:r>
          </w:p>
        </w:tc>
        <w:tc>
          <w:tcPr>
            <w:tcW w:w="711"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其他</w:t>
            </w:r>
          </w:p>
        </w:tc>
        <w:tc>
          <w:tcPr>
            <w:tcW w:w="695"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r>
      <w:tr>
        <w:trPr>
          <w:jc w:val="center"/>
        </w:trPr>
        <w:tc>
          <w:tcPr>
            <w:tcW w:w="3556"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一、本年新收政府信息公开申请数量</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rPr>
          <w:jc w:val="center"/>
        </w:trPr>
        <w:tc>
          <w:tcPr>
            <w:tcW w:w="3556"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二、上年结转政府信息公开申请数量</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r>
              <w:rPr>
                <w:rFonts w:hint="eastAsia" w:cs="Calibri"/>
                <w:color w:val="auto"/>
                <w:kern w:val="0"/>
                <w:sz w:val="20"/>
                <w:szCs w:val="20"/>
                <w:lang w:val="en-US" w:eastAsia="zh-CN"/>
              </w:rPr>
              <w:t>0</w:t>
            </w:r>
          </w:p>
        </w:tc>
      </w:tr>
      <w:tr>
        <w:trPr>
          <w:jc w:val="center"/>
        </w:trPr>
        <w:tc>
          <w:tcPr>
            <w:tcW w:w="616"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三、本年度办理结果</w:t>
            </w: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ascii="楷体" w:hAnsi="楷体" w:eastAsia="楷体" w:cs="楷体"/>
                <w:color w:val="auto"/>
                <w:kern w:val="0"/>
                <w:sz w:val="20"/>
                <w:szCs w:val="20"/>
                <w:lang w:val="en-US" w:eastAsia="zh-CN"/>
              </w:rPr>
              <w:t>（一）予以公开</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9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r>
      <w:tr>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（二）部分公开（区分处理的，只计这一情形，不计其他情形）</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r>
      <w:tr>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（三）不予公开</w:t>
            </w: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1.属于国家秘密</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9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r>
      <w:tr>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2.其他法律行政法规禁止公开</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r>
      <w:tr>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3.危及“三安全一稳定”</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r>
      <w:tr>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4.保护第三方合法权益</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r>
      <w:tr>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5.属于三类内部事务信息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r>
      <w:tr>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6.属于四类过程性信息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r>
      <w:tr>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7.属于行政执法案卷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r>
      <w:tr>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8.属于行政查询事项</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r>
      <w:tr>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（四）无法提供</w:t>
            </w: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1.本机关不掌握相关政府信息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r>
      <w:tr>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2.没有现成信息需要另行制作</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r>
      <w:tr>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3.补正后申请内容仍不明确</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r>
      <w:tr>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restart"/>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（五）不予处理</w:t>
            </w: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1.信访举报投诉类申请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r>
      <w:tr>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2.重复申请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r>
      <w:tr>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3.要求提供公开出版物</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r>
      <w:tr>
        <w:trPr>
          <w:trHeight w:val="789" w:hRule="atLeast"/>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4.无正当理由大量反复申请</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r>
      <w:tr>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85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08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5.要求行政机关确认或重新出具已获取信息</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r>
      <w:tr>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（六）其他处理</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r>
      <w:tr>
        <w:trPr>
          <w:jc w:val="center"/>
        </w:trPr>
        <w:tc>
          <w:tcPr>
            <w:tcW w:w="616"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2940" w:type="dxa"/>
            <w:gridSpan w:val="2"/>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楷体" w:hAnsi="楷体" w:eastAsia="楷体" w:cs="楷体"/>
                <w:color w:val="auto"/>
                <w:kern w:val="0"/>
                <w:sz w:val="20"/>
                <w:szCs w:val="20"/>
                <w:lang w:val="en-US" w:eastAsia="zh-CN"/>
              </w:rPr>
              <w:t>（七）总计</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4"/>
                <w:szCs w:val="24"/>
                <w:lang w:val="en-US" w:eastAsia="zh-CN"/>
              </w:rPr>
              <w:t>0</w:t>
            </w:r>
          </w:p>
        </w:tc>
      </w:tr>
      <w:tr>
        <w:trPr>
          <w:jc w:val="center"/>
        </w:trPr>
        <w:tc>
          <w:tcPr>
            <w:tcW w:w="3556" w:type="dxa"/>
            <w:gridSpan w:val="3"/>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left"/>
              <w:rPr>
                <w:color w:val="auto"/>
              </w:rPr>
            </w:pPr>
            <w:r>
              <w:rPr>
                <w:rFonts w:hint="eastAsia" w:ascii="宋体" w:hAnsi="宋体" w:eastAsia="宋体" w:cs="宋体"/>
                <w:color w:val="auto"/>
                <w:kern w:val="0"/>
                <w:sz w:val="20"/>
                <w:szCs w:val="20"/>
                <w:lang w:val="en-US" w:eastAsia="zh-CN"/>
              </w:rPr>
              <w:t>四、结转下年度继续办理</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5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81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973"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711"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95"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宋体" w:eastAsia="宋体"/>
                <w:color w:val="auto"/>
                <w:sz w:val="24"/>
                <w:szCs w:val="24"/>
                <w:lang w:val="en-US" w:eastAsia="zh-CN"/>
              </w:rPr>
            </w:pPr>
            <w:r>
              <w:rPr>
                <w:rFonts w:hint="eastAsia" w:ascii="宋体"/>
                <w:color w:val="auto"/>
                <w:sz w:val="24"/>
                <w:szCs w:val="24"/>
                <w:lang w:val="en-US" w:eastAsia="zh-CN"/>
              </w:rPr>
              <w:t>0</w:t>
            </w:r>
          </w:p>
        </w:tc>
      </w:tr>
    </w:tbl>
    <w:p>
      <w:pPr>
        <w:pStyle w:val="4"/>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both"/>
        <w:rPr>
          <w:rStyle w:val="6"/>
          <w:rFonts w:hint="eastAsia" w:ascii="微软雅黑" w:hAnsi="微软雅黑" w:eastAsia="微软雅黑" w:cs="微软雅黑"/>
          <w:i w:val="0"/>
          <w:caps w:val="0"/>
          <w:color w:val="auto"/>
          <w:spacing w:val="8"/>
          <w:sz w:val="27"/>
          <w:szCs w:val="27"/>
        </w:rPr>
      </w:pPr>
    </w:p>
    <w:p>
      <w:pPr>
        <w:pStyle w:val="4"/>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572" w:firstLineChars="200"/>
        <w:jc w:val="both"/>
        <w:rPr>
          <w:rFonts w:hint="eastAsia" w:ascii="宋体" w:hAnsi="宋体" w:eastAsia="宋体" w:cs="宋体"/>
          <w:color w:val="auto"/>
        </w:rPr>
      </w:pPr>
      <w:r>
        <w:rPr>
          <w:rStyle w:val="6"/>
          <w:rFonts w:hint="eastAsia" w:ascii="微软雅黑" w:hAnsi="微软雅黑" w:eastAsia="微软雅黑" w:cs="微软雅黑"/>
          <w:i w:val="0"/>
          <w:caps w:val="0"/>
          <w:color w:val="auto"/>
          <w:spacing w:val="8"/>
          <w:sz w:val="27"/>
          <w:szCs w:val="27"/>
        </w:rPr>
        <w:t>四、政府信息公开行政复议、行政诉讼情况</w:t>
      </w:r>
    </w:p>
    <w:tbl>
      <w:tblPr>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行政诉讼</w:t>
            </w:r>
          </w:p>
        </w:tc>
      </w:tr>
      <w:tr>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复议后起诉</w:t>
            </w:r>
          </w:p>
        </w:tc>
      </w:tr>
      <w:tr>
        <w:trPr>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eastAsia" w:ascii="宋体"/>
                <w:color w:val="auto"/>
                <w:sz w:val="24"/>
                <w:szCs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总计</w:t>
            </w:r>
          </w:p>
        </w:tc>
      </w:tr>
      <w:tr>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default" w:ascii="Calibri" w:hAnsi="Calibri" w:eastAsia="宋体" w:cs="Calibri"/>
                <w:color w:val="auto"/>
                <w:kern w:val="0"/>
                <w:sz w:val="20"/>
                <w:szCs w:val="20"/>
                <w:lang w:val="en-US" w:eastAsia="zh-CN"/>
              </w:rPr>
              <w:t> </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4"/>
                <w:szCs w:val="24"/>
                <w:lang w:val="en-US" w:eastAsia="zh-CN"/>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auto"/>
              </w:rPr>
            </w:pPr>
            <w:r>
              <w:rPr>
                <w:rFonts w:hint="eastAsia" w:ascii="宋体" w:hAnsi="宋体" w:eastAsia="宋体" w:cs="宋体"/>
                <w:color w:val="auto"/>
                <w:kern w:val="0"/>
                <w:sz w:val="20"/>
                <w:szCs w:val="20"/>
                <w:lang w:val="en-US" w:eastAsia="zh-CN"/>
              </w:rPr>
              <w:t> </w:t>
            </w:r>
          </w:p>
        </w:tc>
        <w:tc>
          <w:tcPr>
            <w:tcW w:w="606" w:type="dxa"/>
            <w:tcBorders>
              <w:top w:val="nil"/>
              <w:left w:val="nil"/>
              <w:bottom w:val="single" w:color="auto" w:sz="8" w:space="0"/>
              <w:right w:val="single" w:color="auto" w:sz="8" w:space="0"/>
            </w:tcBorders>
            <w:tcMar>
              <w:left w:w="108" w:type="dxa"/>
              <w:right w:w="108" w:type="dxa"/>
            </w:tcMar>
            <w:vAlign w:val="center"/>
          </w:tcPr>
          <w:p>
            <w:pPr>
              <w:jc w:val="center"/>
              <w:rPr>
                <w:rFonts w:hint="eastAsia" w:ascii="宋体" w:eastAsia="宋体"/>
                <w:color w:val="auto"/>
                <w:sz w:val="24"/>
                <w:szCs w:val="24"/>
                <w:lang w:val="en-US" w:eastAsia="zh-CN"/>
              </w:rPr>
            </w:pPr>
            <w:r>
              <w:rPr>
                <w:rFonts w:hint="eastAsia" w:ascii="宋体"/>
                <w:color w:val="auto"/>
                <w:sz w:val="24"/>
                <w:szCs w:val="24"/>
                <w:lang w:val="en-US" w:eastAsia="zh-CN"/>
              </w:rPr>
              <w:t>0</w:t>
            </w:r>
          </w:p>
        </w:tc>
      </w:tr>
    </w:tbl>
    <w:p>
      <w:pPr>
        <w:widowControl/>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hint="eastAsia" w:ascii="宋体" w:hAnsi="宋体" w:eastAsia="宋体" w:cs="宋体"/>
          <w:i w:val="0"/>
          <w:caps w:val="0"/>
          <w:color w:val="auto"/>
          <w:spacing w:val="0"/>
          <w:sz w:val="24"/>
          <w:szCs w:val="24"/>
        </w:rPr>
      </w:pPr>
    </w:p>
    <w:p>
      <w:pPr>
        <w:pStyle w:val="4"/>
        <w:widowControl/>
        <w:pBdr>
          <w:top w:val="none" w:color="auto" w:sz="0" w:space="0"/>
          <w:left w:val="none" w:color="auto" w:sz="0" w:space="0"/>
          <w:bottom w:val="none" w:color="auto" w:sz="0" w:space="0"/>
          <w:right w:val="none" w:color="auto" w:sz="0" w:space="0"/>
        </w:pBdr>
        <w:ind w:left="0" w:firstLine="572" w:firstLineChars="200"/>
        <w:jc w:val="both"/>
        <w:rPr>
          <w:rStyle w:val="6"/>
          <w:rFonts w:hint="eastAsia" w:ascii="微软雅黑" w:hAnsi="微软雅黑" w:eastAsia="微软雅黑" w:cs="微软雅黑"/>
          <w:i w:val="0"/>
          <w:caps w:val="0"/>
          <w:color w:val="auto"/>
          <w:spacing w:val="8"/>
          <w:sz w:val="27"/>
          <w:szCs w:val="27"/>
        </w:rPr>
      </w:pPr>
      <w:r>
        <w:rPr>
          <w:rStyle w:val="6"/>
          <w:rFonts w:hint="eastAsia" w:ascii="微软雅黑" w:hAnsi="微软雅黑" w:eastAsia="微软雅黑" w:cs="微软雅黑"/>
          <w:i w:val="0"/>
          <w:caps w:val="0"/>
          <w:color w:val="auto"/>
          <w:spacing w:val="8"/>
          <w:sz w:val="27"/>
          <w:szCs w:val="27"/>
        </w:rPr>
        <w:t>五、存在的主要问题及改进情况</w:t>
      </w:r>
    </w:p>
    <w:p>
      <w:pPr>
        <w:widowControl/>
        <w:pBdr>
          <w:top w:val="none" w:color="auto" w:sz="0" w:space="0"/>
          <w:left w:val="none" w:color="auto" w:sz="0" w:space="0"/>
          <w:bottom w:val="none" w:color="auto" w:sz="0" w:space="0"/>
          <w:right w:val="none" w:color="auto" w:sz="0" w:space="0"/>
        </w:pBdr>
        <w:ind w:left="0" w:firstLine="572" w:firstLineChars="200"/>
        <w:jc w:val="both"/>
        <w:rPr>
          <w:rFonts w:hint="eastAsia" w:ascii="仿宋" w:hAnsi="仿宋" w:eastAsia="仿宋" w:cs="仿宋"/>
          <w:b/>
          <w:bCs/>
          <w:i w:val="0"/>
          <w:color w:val="333333"/>
          <w:sz w:val="32"/>
          <w:szCs w:val="32"/>
          <w:lang w:eastAsia="zh-CN"/>
        </w:rPr>
      </w:pPr>
      <w:r>
        <w:rPr>
          <w:rFonts w:hint="eastAsia" w:ascii="仿宋" w:hAnsi="仿宋" w:eastAsia="仿宋" w:cs="仿宋"/>
          <w:b/>
          <w:bCs/>
          <w:i w:val="0"/>
          <w:color w:val="333333"/>
          <w:sz w:val="32"/>
          <w:szCs w:val="32"/>
          <w:lang w:eastAsia="zh-CN"/>
        </w:rPr>
        <w:t>存在的问题：</w:t>
      </w:r>
    </w:p>
    <w:p>
      <w:pPr>
        <w:widowControl/>
        <w:pBdr>
          <w:top w:val="none" w:color="auto" w:sz="0" w:space="0"/>
          <w:left w:val="none" w:color="auto" w:sz="0" w:space="0"/>
          <w:bottom w:val="none" w:color="auto" w:sz="0" w:space="0"/>
          <w:right w:val="none" w:color="auto" w:sz="0" w:space="0"/>
        </w:pBdr>
        <w:ind w:left="0" w:firstLine="572" w:firstLineChars="200"/>
        <w:jc w:val="both"/>
        <w:rPr>
          <w:rFonts w:hint="eastAsia" w:ascii="仿宋" w:hAnsi="仿宋" w:eastAsia="仿宋" w:cs="仿宋"/>
          <w:b w:val="0"/>
          <w:i w:val="0"/>
          <w:color w:val="333333"/>
          <w:sz w:val="32"/>
          <w:szCs w:val="32"/>
          <w:lang w:eastAsia="zh-CN"/>
        </w:rPr>
      </w:pPr>
      <w:r>
        <w:rPr>
          <w:rFonts w:hint="eastAsia" w:ascii="仿宋" w:hAnsi="仿宋" w:eastAsia="仿宋" w:cs="仿宋"/>
          <w:b w:val="0"/>
          <w:i w:val="0"/>
          <w:color w:val="333333"/>
          <w:sz w:val="32"/>
          <w:szCs w:val="32"/>
          <w:lang w:eastAsia="zh-CN"/>
        </w:rPr>
        <w:t>一是公开信息的时效性不够强;</w:t>
      </w:r>
    </w:p>
    <w:p>
      <w:pPr>
        <w:widowControl/>
        <w:pBdr>
          <w:top w:val="none" w:color="auto" w:sz="0" w:space="0"/>
          <w:left w:val="none" w:color="auto" w:sz="0" w:space="0"/>
          <w:bottom w:val="none" w:color="auto" w:sz="0" w:space="0"/>
          <w:right w:val="none" w:color="auto" w:sz="0" w:space="0"/>
        </w:pBdr>
        <w:ind w:left="0" w:firstLine="572" w:firstLineChars="200"/>
        <w:jc w:val="both"/>
        <w:rPr>
          <w:rFonts w:hint="eastAsia" w:ascii="仿宋" w:hAnsi="仿宋" w:eastAsia="仿宋" w:cs="仿宋"/>
          <w:b w:val="0"/>
          <w:i w:val="0"/>
          <w:color w:val="333333"/>
          <w:sz w:val="32"/>
          <w:szCs w:val="32"/>
          <w:lang w:eastAsia="zh-CN"/>
        </w:rPr>
      </w:pPr>
      <w:r>
        <w:rPr>
          <w:rFonts w:hint="eastAsia" w:ascii="仿宋" w:hAnsi="仿宋" w:eastAsia="仿宋" w:cs="仿宋"/>
          <w:b w:val="0"/>
          <w:i w:val="0"/>
          <w:color w:val="333333"/>
          <w:sz w:val="32"/>
          <w:szCs w:val="32"/>
          <w:lang w:eastAsia="zh-CN"/>
        </w:rPr>
        <w:t>二是主动公开政府信息的数量还需要增加，公开的内容需要进一步细化;</w:t>
      </w:r>
    </w:p>
    <w:p>
      <w:pPr>
        <w:widowControl/>
        <w:pBdr>
          <w:top w:val="none" w:color="auto" w:sz="0" w:space="0"/>
          <w:left w:val="none" w:color="auto" w:sz="0" w:space="0"/>
          <w:bottom w:val="none" w:color="auto" w:sz="0" w:space="0"/>
          <w:right w:val="none" w:color="auto" w:sz="0" w:space="0"/>
        </w:pBdr>
        <w:ind w:left="0" w:firstLine="572" w:firstLineChars="200"/>
        <w:jc w:val="both"/>
        <w:rPr>
          <w:rFonts w:hint="eastAsia" w:ascii="仿宋" w:hAnsi="仿宋" w:eastAsia="仿宋" w:cs="仿宋"/>
          <w:b w:val="0"/>
          <w:i w:val="0"/>
          <w:color w:val="333333"/>
          <w:sz w:val="32"/>
          <w:szCs w:val="32"/>
          <w:lang w:eastAsia="zh-CN"/>
        </w:rPr>
      </w:pPr>
      <w:r>
        <w:rPr>
          <w:rFonts w:hint="eastAsia" w:ascii="仿宋" w:hAnsi="仿宋" w:eastAsia="仿宋" w:cs="仿宋"/>
          <w:b w:val="0"/>
          <w:i w:val="0"/>
          <w:color w:val="333333"/>
          <w:sz w:val="32"/>
          <w:szCs w:val="32"/>
          <w:lang w:eastAsia="zh-CN"/>
        </w:rPr>
        <w:t>三是宣传和引导工作需要进一步加强，提升政府信息公开工作的认识程度，满足公众对政府信息的需求。</w:t>
      </w:r>
    </w:p>
    <w:p>
      <w:pPr>
        <w:widowControl/>
        <w:pBdr>
          <w:top w:val="none" w:color="auto" w:sz="0" w:space="0"/>
          <w:left w:val="none" w:color="auto" w:sz="0" w:space="0"/>
          <w:bottom w:val="none" w:color="auto" w:sz="0" w:space="0"/>
          <w:right w:val="none" w:color="auto" w:sz="0" w:space="0"/>
        </w:pBdr>
        <w:ind w:left="0" w:firstLine="572" w:firstLineChars="200"/>
        <w:jc w:val="both"/>
        <w:rPr>
          <w:rFonts w:hint="eastAsia" w:ascii="仿宋" w:hAnsi="仿宋" w:eastAsia="仿宋" w:cs="仿宋"/>
          <w:b/>
          <w:bCs/>
          <w:i w:val="0"/>
          <w:color w:val="333333"/>
          <w:sz w:val="32"/>
          <w:szCs w:val="32"/>
          <w:lang w:eastAsia="zh-CN"/>
        </w:rPr>
      </w:pPr>
      <w:r>
        <w:rPr>
          <w:rFonts w:hint="eastAsia" w:ascii="仿宋" w:hAnsi="仿宋" w:eastAsia="仿宋" w:cs="仿宋"/>
          <w:b/>
          <w:bCs/>
          <w:i w:val="0"/>
          <w:color w:val="333333"/>
          <w:sz w:val="32"/>
          <w:szCs w:val="32"/>
          <w:lang w:eastAsia="zh-CN"/>
        </w:rPr>
        <w:t>改进情况：</w:t>
      </w:r>
    </w:p>
    <w:p>
      <w:pPr>
        <w:widowControl/>
        <w:pBdr>
          <w:top w:val="none" w:color="auto" w:sz="0" w:space="0"/>
          <w:left w:val="none" w:color="auto" w:sz="0" w:space="0"/>
          <w:bottom w:val="none" w:color="auto" w:sz="0" w:space="0"/>
          <w:right w:val="none" w:color="auto" w:sz="0" w:space="0"/>
        </w:pBdr>
        <w:ind w:left="0" w:firstLine="572" w:firstLineChars="200"/>
        <w:jc w:val="both"/>
        <w:rPr>
          <w:rFonts w:hint="eastAsia" w:ascii="仿宋" w:hAnsi="仿宋" w:eastAsia="仿宋" w:cs="仿宋"/>
          <w:b w:val="0"/>
          <w:i w:val="0"/>
          <w:color w:val="333333"/>
          <w:sz w:val="32"/>
          <w:szCs w:val="32"/>
          <w:lang w:eastAsia="zh-CN"/>
        </w:rPr>
      </w:pPr>
      <w:r>
        <w:rPr>
          <w:rFonts w:hint="eastAsia" w:ascii="仿宋" w:hAnsi="仿宋" w:eastAsia="仿宋" w:cs="仿宋"/>
          <w:b w:val="0"/>
          <w:i w:val="0"/>
          <w:color w:val="333333"/>
          <w:sz w:val="32"/>
          <w:szCs w:val="32"/>
          <w:lang w:eastAsia="zh-CN"/>
        </w:rPr>
        <w:t>一是加强信息公开负责部门与机关内部各科室之间联系，及时将各科室生成的信息发布到网上，尽量做到信息生成与发布保持同步;</w:t>
      </w:r>
    </w:p>
    <w:p>
      <w:pPr>
        <w:widowControl/>
        <w:pBdr>
          <w:top w:val="none" w:color="auto" w:sz="0" w:space="0"/>
          <w:left w:val="none" w:color="auto" w:sz="0" w:space="0"/>
          <w:bottom w:val="none" w:color="auto" w:sz="0" w:space="0"/>
          <w:right w:val="none" w:color="auto" w:sz="0" w:space="0"/>
        </w:pBdr>
        <w:ind w:left="0" w:firstLine="572" w:firstLineChars="200"/>
        <w:jc w:val="both"/>
        <w:rPr>
          <w:rFonts w:hint="eastAsia" w:ascii="仿宋" w:hAnsi="仿宋" w:eastAsia="仿宋" w:cs="仿宋"/>
          <w:b w:val="0"/>
          <w:i w:val="0"/>
          <w:color w:val="333333"/>
          <w:sz w:val="32"/>
          <w:szCs w:val="32"/>
          <w:lang w:eastAsia="zh-CN"/>
        </w:rPr>
      </w:pPr>
      <w:r>
        <w:rPr>
          <w:rFonts w:hint="eastAsia" w:ascii="仿宋" w:hAnsi="仿宋" w:eastAsia="仿宋" w:cs="仿宋"/>
          <w:b w:val="0"/>
          <w:i w:val="0"/>
          <w:color w:val="333333"/>
          <w:sz w:val="32"/>
          <w:szCs w:val="32"/>
          <w:lang w:eastAsia="zh-CN"/>
        </w:rPr>
        <w:t>二是进一步解放思想，扩大信息公开的范围，除正式文件外，其他由街道生成的对社会公众有指导或帮助意义的信息也要纳入信息公开的范畴之中予以发布;</w:t>
      </w:r>
    </w:p>
    <w:p>
      <w:pPr>
        <w:widowControl/>
        <w:pBdr>
          <w:top w:val="none" w:color="auto" w:sz="0" w:space="0"/>
          <w:left w:val="none" w:color="auto" w:sz="0" w:space="0"/>
          <w:bottom w:val="none" w:color="auto" w:sz="0" w:space="0"/>
          <w:right w:val="none" w:color="auto" w:sz="0" w:space="0"/>
        </w:pBdr>
        <w:ind w:left="0" w:firstLine="572" w:firstLineChars="200"/>
        <w:jc w:val="both"/>
        <w:rPr>
          <w:rFonts w:hint="eastAsia" w:ascii="仿宋" w:hAnsi="仿宋" w:eastAsia="仿宋" w:cs="仿宋"/>
          <w:b w:val="0"/>
          <w:i w:val="0"/>
          <w:color w:val="333333"/>
          <w:sz w:val="32"/>
          <w:szCs w:val="32"/>
          <w:lang w:eastAsia="zh-CN"/>
        </w:rPr>
      </w:pPr>
      <w:r>
        <w:rPr>
          <w:rFonts w:hint="eastAsia" w:ascii="仿宋" w:hAnsi="仿宋" w:eastAsia="仿宋" w:cs="仿宋"/>
          <w:b w:val="0"/>
          <w:i w:val="0"/>
          <w:color w:val="333333"/>
          <w:sz w:val="32"/>
          <w:szCs w:val="32"/>
          <w:lang w:eastAsia="zh-CN"/>
        </w:rPr>
        <w:t>三是加大对信息公开工作的宣传力度，使社会公众对这项工作有进一步的了解和更深的认识，引导公众正确使用信息公开这种新兴的政府服务职能，为自己的生活、工作提供便利。</w:t>
      </w:r>
    </w:p>
    <w:p>
      <w:pPr>
        <w:widowControl/>
        <w:pBdr>
          <w:top w:val="none" w:color="auto" w:sz="0" w:space="0"/>
          <w:left w:val="none" w:color="auto" w:sz="0" w:space="0"/>
          <w:bottom w:val="none" w:color="auto" w:sz="0" w:space="0"/>
          <w:right w:val="none" w:color="auto" w:sz="0" w:space="0"/>
        </w:pBdr>
        <w:ind w:left="0" w:firstLine="572" w:firstLineChars="200"/>
        <w:jc w:val="both"/>
        <w:rPr>
          <w:rFonts w:hint="eastAsia" w:ascii="仿宋" w:hAnsi="仿宋" w:eastAsia="仿宋" w:cs="仿宋"/>
          <w:b w:val="0"/>
          <w:i w:val="0"/>
          <w:color w:val="333333"/>
          <w:sz w:val="32"/>
          <w:szCs w:val="32"/>
          <w:lang w:eastAsia="zh-CN"/>
        </w:rPr>
      </w:pPr>
      <w:r>
        <w:rPr>
          <w:rFonts w:hint="eastAsia" w:ascii="仿宋" w:hAnsi="仿宋" w:eastAsia="仿宋" w:cs="仿宋"/>
          <w:b w:val="0"/>
          <w:i w:val="0"/>
          <w:color w:val="333333"/>
          <w:sz w:val="32"/>
          <w:szCs w:val="32"/>
          <w:lang w:eastAsia="zh-CN"/>
        </w:rPr>
        <w:t>四是注意借鉴兄弟单位的好做法，收集新情况，总结新经验，继续坚持政府信息公开制度，及时处理网上留言、咨询和相关申请工作，认真做好相关记录，做到件件有着落，事事有回音，认真履行政府信息公开工作的各项职责，主动接受社会监督，为广大社会公众服好务。</w:t>
      </w:r>
    </w:p>
    <w:p>
      <w:pPr>
        <w:pStyle w:val="4"/>
        <w:widowControl/>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b w:val="0"/>
          <w:i w:val="0"/>
          <w:caps w:val="0"/>
          <w:color w:val="auto"/>
          <w:spacing w:val="8"/>
          <w:sz w:val="27"/>
          <w:szCs w:val="27"/>
        </w:rPr>
      </w:pPr>
      <w:r>
        <w:rPr>
          <w:rFonts w:hint="eastAsia" w:ascii="微软雅黑" w:hAnsi="微软雅黑" w:eastAsia="微软雅黑" w:cs="微软雅黑"/>
          <w:b w:val="0"/>
          <w:i w:val="0"/>
          <w:caps w:val="0"/>
          <w:color w:val="auto"/>
          <w:spacing w:val="8"/>
          <w:sz w:val="27"/>
          <w:szCs w:val="27"/>
        </w:rPr>
        <w:t>　　</w:t>
      </w:r>
      <w:r>
        <w:rPr>
          <w:rStyle w:val="6"/>
          <w:rFonts w:hint="eastAsia" w:ascii="微软雅黑" w:hAnsi="微软雅黑" w:eastAsia="微软雅黑" w:cs="微软雅黑"/>
          <w:i w:val="0"/>
          <w:caps w:val="0"/>
          <w:color w:val="auto"/>
          <w:spacing w:val="8"/>
          <w:sz w:val="27"/>
          <w:szCs w:val="27"/>
        </w:rPr>
        <w:t>六、其他需要报告的事项</w:t>
      </w:r>
    </w:p>
    <w:p>
      <w:pPr>
        <w:pStyle w:val="4"/>
        <w:widowControl/>
        <w:pBdr>
          <w:top w:val="none" w:color="auto" w:sz="0" w:space="0"/>
          <w:left w:val="none" w:color="auto" w:sz="0" w:space="0"/>
          <w:bottom w:val="none" w:color="auto" w:sz="0" w:space="0"/>
          <w:right w:val="none" w:color="auto" w:sz="0" w:space="0"/>
        </w:pBdr>
        <w:ind w:left="0" w:firstLine="0"/>
        <w:jc w:val="both"/>
        <w:rPr>
          <w:color w:val="auto"/>
        </w:rPr>
      </w:pPr>
      <w:r>
        <w:rPr>
          <w:rFonts w:hint="eastAsia" w:ascii="微软雅黑" w:hAnsi="微软雅黑" w:eastAsia="微软雅黑" w:cs="微软雅黑"/>
          <w:b w:val="0"/>
          <w:i w:val="0"/>
          <w:caps w:val="0"/>
          <w:color w:val="auto"/>
          <w:spacing w:val="8"/>
          <w:sz w:val="27"/>
          <w:szCs w:val="27"/>
        </w:rPr>
        <w:t>　　</w:t>
      </w:r>
      <w:r>
        <w:rPr>
          <w:rFonts w:hint="eastAsia" w:ascii="仿宋" w:hAnsi="仿宋" w:eastAsia="仿宋" w:cs="仿宋"/>
          <w:b w:val="0"/>
          <w:i w:val="0"/>
          <w:caps w:val="0"/>
          <w:color w:val="auto"/>
          <w:spacing w:val="8"/>
          <w:sz w:val="32"/>
          <w:szCs w:val="32"/>
          <w:lang w:eastAsia="zh-CN"/>
        </w:rPr>
        <w:t>无</w:t>
      </w:r>
    </w:p>
    <w:sectPr>
      <w:footerReference r:id="rId4" w:type="default"/>
      <w:pgSz w:w="11906" w:h="16838"/>
      <w:pgMar w:top="1417" w:right="1417" w:bottom="1417" w:left="1417"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Arial Rounded MT Bold">
    <w:altName w:val="Arial"/>
    <w:panose1 w:val="020F0704030504030204"/>
    <w:charset w:val="00"/>
    <w:family w:val="auto"/>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华文彩云">
    <w:altName w:val="微软雅黑"/>
    <w:panose1 w:val="02010800040101010101"/>
    <w:charset w:val="86"/>
    <w:family w:val="auto"/>
    <w:pitch w:val="default"/>
    <w:sig w:usb0="00000001" w:usb1="080F0000" w:usb2="00000000" w:usb3="00000000" w:csb0="00040000" w:csb1="00000000"/>
  </w:font>
  <w:font w:name="幼圆">
    <w:altName w:val="宋体"/>
    <w:panose1 w:val="0201050906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1" w:usb1="080E0000" w:usb2="00000000" w:usb3="00000000" w:csb0="00040000" w:csb1="00000000"/>
  </w:font>
  <w:font w:name="方正粗黑宋简体">
    <w:altName w:val="宋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99517421">
    <w:nsid w:val="41894DED"/>
    <w:multiLevelType w:val="singleLevel"/>
    <w:tmpl w:val="41894DED"/>
    <w:lvl w:ilvl="0" w:tentative="1">
      <w:start w:val="2"/>
      <w:numFmt w:val="chineseCounting"/>
      <w:suff w:val="nothing"/>
      <w:lvlText w:val="%1、"/>
      <w:lvlJc w:val="left"/>
      <w:rPr>
        <w:rFonts w:hint="eastAsia"/>
      </w:rPr>
    </w:lvl>
  </w:abstractNum>
  <w:num w:numId="1">
    <w:abstractNumId w:val="10995174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2019-12-10T08:04:00Z</dcterms:created>
  <dc:creator>Administrator</dc:creator>
  <cp:lastModifiedBy>Administrator</cp:lastModifiedBy>
  <cp:lastPrinted>2019-12-27T02:45:51Z</cp:lastPrinted>
  <dcterms:modified xsi:type="dcterms:W3CDTF">2019-12-27T02:52:12Z</dcterms:modified>
  <dc:title>（单位全称）2019年政府信息公开工作年度报告（格式模板）</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