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附件1</w:t>
      </w:r>
    </w:p>
    <w:p>
      <w:pPr>
        <w:widowControl/>
        <w:shd w:val="clear" w:color="auto"/>
        <w:jc w:val="center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</w:rPr>
      </w:pPr>
    </w:p>
    <w:p>
      <w:pPr>
        <w:widowControl/>
        <w:shd w:val="clear" w:color="auto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政府信息公开工作年度报告</w:t>
      </w:r>
    </w:p>
    <w:p>
      <w:pPr>
        <w:widowControl/>
        <w:shd w:val="clear" w:color="auto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val="clear" w:color="auto"/>
        <w:spacing w:after="240"/>
        <w:ind w:firstLine="480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根据《中华人民共和国政府信息公开条例》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（下称“《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eastAsia="zh-CN"/>
        </w:rPr>
        <w:t>条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例》”），特向社会公布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2020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年度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eastAsia="zh-CN"/>
        </w:rPr>
        <w:t>白山市江源区商务局信息公开年度报告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。全报告由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eastAsia="zh-CN"/>
        </w:rPr>
        <w:t>总体情况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、主动公开政府信息、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eastAsia="zh-CN"/>
        </w:rPr>
        <w:t>收到和处理政府信息公开申请情况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、政府信息公开申请行政复议、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eastAsia="zh-CN"/>
        </w:rPr>
        <w:t>行政诉讼情况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、存在的主要问题及改进情况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eastAsia="zh-CN"/>
        </w:rPr>
        <w:t>以及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其他需要报告的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eastAsia="zh-CN"/>
        </w:rPr>
        <w:t>事项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组成。本报告中所列数据统计期限自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/>
        </w:rPr>
        <w:t>20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/>
        </w:rPr>
        <w:t>1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/>
        </w:rPr>
        <w:t>1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日至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/>
        </w:rPr>
        <w:t>2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020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/>
        </w:rPr>
        <w:t>12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/>
        </w:rPr>
        <w:t>31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日截止。本报告的电子版可在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eastAsia="zh-CN"/>
        </w:rPr>
        <w:t>江源区人民政府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政务公开和信息公开专栏下载。如对本报告有疑问，请与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eastAsia="zh-CN"/>
        </w:rPr>
        <w:t>江源区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商务局办公室联系。地址：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eastAsia="zh-CN"/>
        </w:rPr>
        <w:t>白山市江源区富强二区商务局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，邮编：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/>
        </w:rPr>
        <w:t>13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4700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，电话：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3725003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。</w:t>
      </w:r>
    </w:p>
    <w:p>
      <w:pPr>
        <w:widowControl/>
        <w:shd w:val="clear" w:color="auto"/>
        <w:spacing w:after="240"/>
        <w:ind w:firstLine="480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>(一）概述</w:t>
      </w:r>
    </w:p>
    <w:p>
      <w:pPr>
        <w:widowControl/>
        <w:shd w:val="clear" w:color="auto"/>
        <w:spacing w:after="240"/>
        <w:ind w:firstLine="480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推进政府信息公开是白山市江源区政府贯彻落实《中华人民共和国政府信息公开条例》的重要举措，是深入推行政务公开，转变政府职能，实现管理创新，建设人民满意的服务型政府的一项重要工作。按照中共中央办公厅、国务院办公厅《关于深化政务公开加强政务公开的意见》的通知精神和《中华人民共和国政府信息公开条例》，2020年，我局认真贯彻落实《条例》，紧紧围绕商务中心工作，进一步拓展信息公开范围，加大商务运行情况公开力度，加强网站平台建设，各项工作取得积极进展。</w:t>
      </w:r>
    </w:p>
    <w:p>
      <w:pPr>
        <w:widowControl/>
        <w:shd w:val="clear" w:color="auto"/>
        <w:spacing w:after="240"/>
        <w:ind w:firstLine="480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1. 拓展信息公开范围。</w:t>
      </w:r>
    </w:p>
    <w:p>
      <w:pPr>
        <w:widowControl/>
        <w:shd w:val="clear" w:color="auto"/>
        <w:spacing w:after="240"/>
        <w:ind w:firstLine="480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根据公众和企业对政府信息需求的新变化，不断扩大公开信息的范围，着力拓展重点领域信息公开的广度和深度，公开的信息覆盖了《条例》规定的主要方面。公开内容除原有的政策法规、决策公开、服务公开、管理公开、执行公开、结果公开外，还增加了“双随机一公开”、“一门式一张网”信息、人大建议和政协提案办理情况等。</w:t>
      </w:r>
    </w:p>
    <w:p>
      <w:pPr>
        <w:widowControl/>
        <w:shd w:val="clear" w:color="auto"/>
        <w:spacing w:after="240"/>
        <w:ind w:firstLine="480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2.加强网站平台建设。</w:t>
      </w:r>
    </w:p>
    <w:p>
      <w:pPr>
        <w:widowControl/>
        <w:shd w:val="clear" w:color="auto"/>
        <w:spacing w:after="240"/>
        <w:ind w:firstLine="480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2020年，商务局按照市政务公开第三方评估报告中提出的问题，及时检查，积极整改，杜绝空栏和严重错误等问题，不断提高网站信息更新频率。</w:t>
      </w:r>
    </w:p>
    <w:p>
      <w:pPr>
        <w:widowControl/>
        <w:shd w:val="clear" w:color="auto"/>
        <w:spacing w:after="240"/>
        <w:ind w:firstLine="480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3.健全组织结构，明确推进信息公开工作程序。</w:t>
      </w:r>
    </w:p>
    <w:p>
      <w:pPr>
        <w:widowControl/>
        <w:shd w:val="clear" w:color="auto"/>
        <w:spacing w:after="240"/>
        <w:ind w:firstLine="480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成立由单位主要负责人为组长，分管领导为副组长相关科室负责人组成的信息工作领导小组，指定专人负责此项工作，并承担信息公开工作的总体协调。</w:t>
      </w:r>
    </w:p>
    <w:p>
      <w:pPr>
        <w:widowControl/>
        <w:shd w:val="clear" w:color="auto"/>
        <w:spacing w:after="240"/>
        <w:ind w:firstLine="480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</w:p>
    <w:p>
      <w:pPr>
        <w:widowControl/>
        <w:shd w:val="clear" w:color="auto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3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2020年本行政区域（或本部门）政府信息公开发布总数量（非新闻类、消息类）：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</w:tbl>
    <w:p>
      <w:pPr>
        <w:widowControl/>
        <w:shd w:val="clear" w:color="auto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val="clear" w:color="auto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年我局政府信息公开工作取得了一定的成绩，但公开的制度机制仍需完善，依申请公开回复的规范化水平仍有提升空间，在做好结果公开的同时，决策公开、执行公开、管理公开和服务公开也需进一步加强。 </w:t>
      </w:r>
    </w:p>
    <w:p>
      <w:pPr>
        <w:widowControl/>
        <w:numPr>
          <w:ilvl w:val="0"/>
          <w:numId w:val="1"/>
        </w:numPr>
        <w:shd w:val="clear" w:color="auto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进一步完善工作机制。</w:t>
      </w:r>
    </w:p>
    <w:p>
      <w:pPr>
        <w:widowControl/>
        <w:numPr>
          <w:ilvl w:val="0"/>
          <w:numId w:val="0"/>
        </w:numPr>
        <w:shd w:val="clear" w:color="auto"/>
        <w:ind w:firstLine="480" w:firstLineChars="20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继续建立健全政府信息公开制度规范，完善工作机制。针对公开工作中遇到的问题，梳理相关法规和政策文件，汇总有关疑难复杂经典案例，学习借鉴其他部门的有益经验，不断总结改进，提升公开水平。 </w:t>
      </w:r>
    </w:p>
    <w:p>
      <w:pPr>
        <w:widowControl/>
        <w:shd w:val="clear" w:color="auto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（二）拓展公开内容的广度与深度。 </w:t>
      </w:r>
    </w:p>
    <w:p>
      <w:pPr>
        <w:widowControl/>
        <w:shd w:val="clear" w:color="auto"/>
        <w:ind w:firstLine="480" w:firstLineChars="20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进一步拓展信息公开范围，在做好结果公开的同时加强决策公开、执行公开、管理公开和服务公开，推进政务阳光透明。进一步拓展公开内容的深度，在推进信息开放的同时加强政策解读，提高政策解读的针对性、科学性、权威性。 </w:t>
      </w:r>
    </w:p>
    <w:p>
      <w:pPr>
        <w:widowControl/>
        <w:shd w:val="clear" w:color="auto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（三）夯实基础性工作，加强回应社会关切。 </w:t>
      </w:r>
    </w:p>
    <w:p>
      <w:pPr>
        <w:widowControl/>
        <w:shd w:val="clear" w:color="auto"/>
        <w:ind w:firstLine="480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推进对社会关注度高、专业性强的重大决定提供解读服务，加强政府信息公开咨询服务工作，加强宣传和普及力度。 </w:t>
      </w:r>
    </w:p>
    <w:p>
      <w:pPr>
        <w:widowControl/>
        <w:shd w:val="clear" w:color="auto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shd w:val="clear"/>
        <w:ind w:firstLine="480" w:firstLineChars="200"/>
        <w:rPr>
          <w:rFonts w:hint="eastAsia" w:ascii="黑体" w:hAnsi="黑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年度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商务局</w:t>
      </w:r>
      <w:r>
        <w:rPr>
          <w:rFonts w:hint="eastAsia" w:ascii="宋体" w:hAnsi="宋体" w:eastAsia="宋体" w:cs="宋体"/>
          <w:sz w:val="24"/>
          <w:szCs w:val="24"/>
        </w:rPr>
        <w:t>主动公开各类政务信息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50</w:t>
      </w:r>
      <w:r>
        <w:rPr>
          <w:rFonts w:hint="eastAsia" w:ascii="宋体" w:hAnsi="宋体" w:eastAsia="宋体" w:cs="宋体"/>
          <w:sz w:val="24"/>
          <w:szCs w:val="24"/>
        </w:rPr>
        <w:t>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hd w:val="clear"/>
        <w:rPr>
          <w:rFonts w:ascii="黑体" w:hAnsi="黑体" w:eastAsia="黑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A7E89"/>
    <w:multiLevelType w:val="singleLevel"/>
    <w:tmpl w:val="1E5A7E8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C71F0"/>
    <w:rsid w:val="0D570454"/>
    <w:rsid w:val="260C71F0"/>
    <w:rsid w:val="59F94661"/>
    <w:rsid w:val="63A2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2020-12-22T00:59:00Z</dcterms:created>
  <dc:creator>罗汉君</dc:creator>
  <cp:lastModifiedBy>Administrator</cp:lastModifiedBy>
  <dcterms:modified xsi:type="dcterms:W3CDTF">2021-01-06T01:47:04Z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