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方正小标宋简体" w:hAnsi="方正小标宋简体" w:eastAsia="方正小标宋简体" w:cs="方正小标宋简体"/>
          <w:b/>
          <w:i w:val="0"/>
          <w:caps w:val="0"/>
          <w:color w:val="auto"/>
          <w:spacing w:val="0"/>
          <w:sz w:val="36"/>
          <w:szCs w:val="36"/>
        </w:rPr>
      </w:pPr>
      <w:r>
        <w:rPr>
          <w:rFonts w:hint="eastAsia" w:ascii="方正小标宋简体" w:hAnsi="方正小标宋简体" w:eastAsia="方正小标宋简体" w:cs="方正小标宋简体"/>
          <w:b/>
          <w:i w:val="0"/>
          <w:caps w:val="0"/>
          <w:color w:val="auto"/>
          <w:spacing w:val="0"/>
          <w:sz w:val="36"/>
          <w:szCs w:val="36"/>
          <w:lang w:val="en-US" w:eastAsia="zh-CN"/>
        </w:rPr>
        <w:t>江源区交通运输局2019年</w:t>
      </w:r>
      <w:r>
        <w:rPr>
          <w:rFonts w:hint="eastAsia" w:ascii="方正小标宋简体" w:hAnsi="方正小标宋简体" w:eastAsia="方正小标宋简体" w:cs="方正小标宋简体"/>
          <w:b/>
          <w:i w:val="0"/>
          <w:caps w:val="0"/>
          <w:color w:val="auto"/>
          <w:spacing w:val="0"/>
          <w:sz w:val="36"/>
          <w:szCs w:val="36"/>
        </w:rPr>
        <w:t>政府信息公开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b/>
          <w:i w:val="0"/>
          <w:caps w:val="0"/>
          <w:color w:val="auto"/>
          <w:spacing w:val="0"/>
          <w:sz w:val="24"/>
          <w:szCs w:val="24"/>
          <w:lang w:eastAsia="zh-CN"/>
        </w:rPr>
      </w:pPr>
      <w:r>
        <w:rPr>
          <w:rFonts w:hint="eastAsia" w:ascii="方正小标宋简体" w:hAnsi="方正小标宋简体" w:eastAsia="方正小标宋简体" w:cs="方正小标宋简体"/>
          <w:b/>
          <w:i w:val="0"/>
          <w:caps w:val="0"/>
          <w:color w:val="auto"/>
          <w:spacing w:val="0"/>
          <w:sz w:val="36"/>
          <w:szCs w:val="36"/>
        </w:rPr>
        <w:t>工作年度报告</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0" w:rightChars="0" w:firstLine="572" w:firstLineChars="200"/>
        <w:jc w:val="both"/>
        <w:rPr>
          <w:rStyle w:val="6"/>
          <w:rFonts w:hint="eastAsia" w:ascii="微软雅黑" w:hAnsi="微软雅黑" w:eastAsia="微软雅黑" w:cs="微软雅黑"/>
          <w:i w:val="0"/>
          <w:caps w:val="0"/>
          <w:color w:val="auto"/>
          <w:spacing w:val="8"/>
          <w:sz w:val="27"/>
          <w:szCs w:val="27"/>
        </w:rPr>
      </w:pPr>
      <w:r>
        <w:rPr>
          <w:rStyle w:val="6"/>
          <w:rFonts w:hint="eastAsia" w:ascii="微软雅黑" w:hAnsi="微软雅黑" w:eastAsia="微软雅黑" w:cs="微软雅黑"/>
          <w:i w:val="0"/>
          <w:caps w:val="0"/>
          <w:color w:val="auto"/>
          <w:spacing w:val="8"/>
          <w:sz w:val="27"/>
          <w:szCs w:val="27"/>
        </w:rPr>
        <w:t>总体情况</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Chars="200" w:right="0" w:rightChars="0" w:firstLine="572" w:firstLineChars="200"/>
        <w:jc w:val="both"/>
        <w:rPr>
          <w:rFonts w:hint="eastAsia" w:ascii="仿宋" w:hAnsi="仿宋" w:eastAsia="仿宋" w:cs="仿宋"/>
          <w:b w:val="0"/>
          <w:i w:val="0"/>
          <w:caps w:val="0"/>
          <w:color w:val="auto"/>
          <w:spacing w:val="8"/>
          <w:sz w:val="27"/>
          <w:szCs w:val="27"/>
          <w:shd w:val="clear" w:color="auto" w:fill="auto"/>
          <w:lang w:val="en-US" w:eastAsia="zh-CN"/>
        </w:rPr>
      </w:pPr>
      <w:r>
        <w:rPr>
          <w:rFonts w:hint="eastAsia" w:ascii="仿宋" w:hAnsi="仿宋" w:eastAsia="仿宋" w:cs="仿宋"/>
          <w:b w:val="0"/>
          <w:i w:val="0"/>
          <w:caps w:val="0"/>
          <w:color w:val="auto"/>
          <w:spacing w:val="8"/>
          <w:sz w:val="27"/>
          <w:szCs w:val="27"/>
          <w:shd w:val="clear" w:color="auto" w:fill="auto"/>
          <w:lang w:val="en-US" w:eastAsia="zh-CN"/>
        </w:rPr>
        <w:t>1.</w:t>
      </w:r>
      <w:r>
        <w:rPr>
          <w:rFonts w:hint="eastAsia" w:ascii="仿宋" w:hAnsi="仿宋" w:eastAsia="仿宋" w:cs="仿宋"/>
          <w:b w:val="0"/>
          <w:i w:val="0"/>
          <w:caps w:val="0"/>
          <w:color w:val="auto"/>
          <w:spacing w:val="8"/>
          <w:sz w:val="27"/>
          <w:szCs w:val="27"/>
          <w:shd w:val="clear" w:color="auto" w:fill="auto"/>
          <w:lang w:eastAsia="zh-CN"/>
        </w:rPr>
        <w:t>江源区交通运输局承但全区国道、省道、县道的公路管理工作和全区客运、货运等道路运输业管理和相关行政许可审批工作，</w:t>
      </w:r>
      <w:r>
        <w:rPr>
          <w:rFonts w:hint="eastAsia" w:ascii="仿宋" w:hAnsi="仿宋" w:eastAsia="仿宋" w:cs="仿宋"/>
          <w:b w:val="0"/>
          <w:i w:val="0"/>
          <w:caps w:val="0"/>
          <w:color w:val="auto"/>
          <w:spacing w:val="8"/>
          <w:sz w:val="27"/>
          <w:szCs w:val="27"/>
          <w:shd w:val="clear" w:color="auto" w:fill="auto"/>
          <w:lang w:val="en-US" w:eastAsia="zh-CN"/>
        </w:rPr>
        <w:t>2019年，全面开展政务信息公开工作，及时完成上级安排的各项工作任务，在政府网站上权责清单，印制了行政许可办事指南，在指南上公示了行政许可范围、条件、依据、流程、时限等信息。完成了吉林省政务服务系统的录入工作。</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Chars="200" w:right="0" w:rightChars="0" w:firstLine="572" w:firstLineChars="200"/>
        <w:jc w:val="both"/>
        <w:rPr>
          <w:rFonts w:hint="default" w:ascii="仿宋" w:hAnsi="仿宋" w:eastAsia="仿宋" w:cs="仿宋"/>
          <w:b w:val="0"/>
          <w:i w:val="0"/>
          <w:caps w:val="0"/>
          <w:color w:val="auto"/>
          <w:spacing w:val="8"/>
          <w:sz w:val="27"/>
          <w:szCs w:val="27"/>
          <w:shd w:val="clear" w:color="auto" w:fill="auto"/>
          <w:lang w:val="en-US" w:eastAsia="zh-CN"/>
        </w:rPr>
      </w:pPr>
      <w:r>
        <w:rPr>
          <w:rFonts w:hint="eastAsia" w:ascii="仿宋" w:hAnsi="仿宋" w:eastAsia="仿宋" w:cs="仿宋"/>
          <w:b w:val="0"/>
          <w:i w:val="0"/>
          <w:caps w:val="0"/>
          <w:color w:val="auto"/>
          <w:spacing w:val="8"/>
          <w:sz w:val="27"/>
          <w:szCs w:val="27"/>
          <w:shd w:val="clear" w:color="auto" w:fill="auto"/>
          <w:lang w:val="en-US" w:eastAsia="zh-CN"/>
        </w:rPr>
        <w:t>2.网上公开，在江源区人民政府网站（http://jy.cbs.gov.cn）政务公开栏交通运输局页面进行公开，政务公开电话：0439-3829011，电子邮箱地址：185585286@QQ.com</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Chars="200" w:right="0" w:rightChars="0" w:firstLine="572" w:firstLineChars="200"/>
        <w:jc w:val="both"/>
        <w:rPr>
          <w:rFonts w:hint="eastAsia" w:ascii="仿宋" w:hAnsi="仿宋" w:eastAsia="仿宋" w:cs="仿宋"/>
          <w:b w:val="0"/>
          <w:i w:val="0"/>
          <w:caps w:val="0"/>
          <w:color w:val="auto"/>
          <w:spacing w:val="8"/>
          <w:sz w:val="27"/>
          <w:szCs w:val="27"/>
          <w:shd w:val="clear" w:color="auto" w:fill="auto"/>
          <w:lang w:val="en-US" w:eastAsia="zh-CN"/>
        </w:rPr>
      </w:pPr>
      <w:r>
        <w:rPr>
          <w:rFonts w:hint="eastAsia" w:ascii="仿宋" w:hAnsi="仿宋" w:eastAsia="仿宋" w:cs="仿宋"/>
          <w:b w:val="0"/>
          <w:i w:val="0"/>
          <w:caps w:val="0"/>
          <w:color w:val="auto"/>
          <w:spacing w:val="8"/>
          <w:sz w:val="27"/>
          <w:szCs w:val="27"/>
          <w:shd w:val="clear" w:color="auto" w:fill="auto"/>
          <w:lang w:val="en-US" w:eastAsia="zh-CN"/>
        </w:rPr>
        <w:t>3.截止2019年12月31日，全局网上公开政务信息16条。</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Chars="200" w:right="0" w:rightChars="0" w:firstLine="588"/>
        <w:jc w:val="both"/>
        <w:rPr>
          <w:rFonts w:hint="eastAsia" w:ascii="仿宋" w:hAnsi="仿宋" w:eastAsia="仿宋" w:cs="仿宋"/>
          <w:b w:val="0"/>
          <w:i w:val="0"/>
          <w:caps w:val="0"/>
          <w:color w:val="auto"/>
          <w:spacing w:val="8"/>
          <w:sz w:val="27"/>
          <w:szCs w:val="27"/>
          <w:shd w:val="clear" w:color="auto" w:fill="auto"/>
          <w:lang w:val="en-US" w:eastAsia="zh-CN"/>
        </w:rPr>
      </w:pP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0" w:rightChars="0" w:firstLine="572" w:firstLineChars="200"/>
        <w:jc w:val="both"/>
        <w:rPr>
          <w:rStyle w:val="6"/>
          <w:rFonts w:hint="eastAsia" w:ascii="微软雅黑" w:hAnsi="微软雅黑" w:eastAsia="微软雅黑" w:cs="微软雅黑"/>
          <w:i w:val="0"/>
          <w:caps w:val="0"/>
          <w:color w:val="auto"/>
          <w:spacing w:val="8"/>
          <w:sz w:val="27"/>
          <w:szCs w:val="27"/>
        </w:rPr>
      </w:pPr>
      <w:r>
        <w:rPr>
          <w:rStyle w:val="6"/>
          <w:rFonts w:hint="eastAsia" w:ascii="微软雅黑" w:hAnsi="微软雅黑" w:eastAsia="微软雅黑" w:cs="微软雅黑"/>
          <w:i w:val="0"/>
          <w:caps w:val="0"/>
          <w:color w:val="auto"/>
          <w:spacing w:val="8"/>
          <w:sz w:val="27"/>
          <w:szCs w:val="27"/>
        </w:rPr>
        <w:t>主动公开政府信息情况</w:t>
      </w:r>
    </w:p>
    <w:tbl>
      <w:tblPr>
        <w:tblStyle w:val="4"/>
        <w:tblW w:w="8140" w:type="dxa"/>
        <w:jc w:val="center"/>
        <w:shd w:val="clear" w:color="auto" w:fill="auto"/>
        <w:tblLayout w:type="autofit"/>
        <w:tblCellMar>
          <w:top w:w="0" w:type="dxa"/>
          <w:left w:w="0" w:type="dxa"/>
          <w:bottom w:w="0" w:type="dxa"/>
          <w:right w:w="0" w:type="dxa"/>
        </w:tblCellMar>
      </w:tblPr>
      <w:tblGrid>
        <w:gridCol w:w="3113"/>
        <w:gridCol w:w="1875"/>
        <w:gridCol w:w="6"/>
        <w:gridCol w:w="1265"/>
        <w:gridCol w:w="1881"/>
      </w:tblGrid>
      <w:tr>
        <w:tblPrEx>
          <w:shd w:val="clear" w:color="auto" w:fill="auto"/>
          <w:tblCellMar>
            <w:top w:w="0" w:type="dxa"/>
            <w:left w:w="0" w:type="dxa"/>
            <w:bottom w:w="0" w:type="dxa"/>
            <w:right w:w="0" w:type="dxa"/>
          </w:tblCellMar>
        </w:tblPrEx>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bidi="ar"/>
              </w:rPr>
              <w:t>第二十条第（一）项</w:t>
            </w:r>
          </w:p>
        </w:tc>
      </w:tr>
      <w:tr>
        <w:tblPrEx>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bidi="ar"/>
              </w:rPr>
              <w:t>本年新</w:t>
            </w:r>
            <w:r>
              <w:rPr>
                <w:rFonts w:hint="eastAsia" w:ascii="宋体" w:hAnsi="宋体" w:eastAsia="宋体" w:cs="宋体"/>
                <w:color w:val="auto"/>
                <w:kern w:val="0"/>
                <w:sz w:val="20"/>
                <w:szCs w:val="20"/>
                <w:lang w:val="en-US" w:eastAsia="zh-CN" w:bidi="ar"/>
              </w:rPr>
              <w:br w:type="textWrapping"/>
            </w:r>
            <w:r>
              <w:rPr>
                <w:rFonts w:asciiTheme="minorHAnsi" w:hAnsiTheme="minorHAnsi" w:eastAsiaTheme="minorEastAsia" w:cstheme="minorBidi"/>
                <w:color w:val="auto"/>
                <w:kern w:val="0"/>
                <w:sz w:val="20"/>
                <w:szCs w:val="20"/>
                <w:lang w:val="en-US" w:eastAsia="zh-CN" w:bidi="ar"/>
              </w:rPr>
              <w:t>制作数量</w:t>
            </w:r>
          </w:p>
        </w:tc>
        <w:tc>
          <w:tcPr>
            <w:tcW w:w="1271"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bidi="ar"/>
              </w:rPr>
              <w:t>本年新</w:t>
            </w:r>
            <w:r>
              <w:rPr>
                <w:rFonts w:hint="eastAsia" w:ascii="宋体" w:hAnsi="宋体" w:eastAsia="宋体" w:cs="宋体"/>
                <w:color w:val="auto"/>
                <w:kern w:val="0"/>
                <w:sz w:val="20"/>
                <w:szCs w:val="20"/>
                <w:lang w:val="en-US" w:eastAsia="zh-CN" w:bidi="ar"/>
              </w:rPr>
              <w:br w:type="textWrapping"/>
            </w:r>
            <w:r>
              <w:rPr>
                <w:rFonts w:asciiTheme="minorHAnsi" w:hAnsiTheme="minorHAnsi" w:eastAsiaTheme="minorEastAsia" w:cstheme="minorBidi"/>
                <w:color w:val="auto"/>
                <w:kern w:val="0"/>
                <w:sz w:val="20"/>
                <w:szCs w:val="20"/>
                <w:lang w:val="en-US" w:eastAsia="zh-CN" w:bidi="ar"/>
              </w:rPr>
              <w:t>公开数量</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bidi="ar"/>
              </w:rPr>
              <w:t>对外公开总数量</w:t>
            </w:r>
          </w:p>
        </w:tc>
      </w:tr>
      <w:tr>
        <w:tblPrEx>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宋体" w:hAnsi="宋体" w:eastAsia="宋体" w:cs="宋体"/>
                <w:color w:val="auto"/>
                <w:kern w:val="0"/>
                <w:sz w:val="20"/>
                <w:szCs w:val="20"/>
                <w:lang w:val="en-US" w:eastAsia="zh-CN" w:bidi="ar"/>
              </w:rPr>
              <w:t>规章</w:t>
            </w:r>
          </w:p>
        </w:tc>
        <w:tc>
          <w:tcPr>
            <w:tcW w:w="187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color w:val="auto"/>
                <w:lang w:val="en-US"/>
              </w:rPr>
            </w:pPr>
            <w:r>
              <w:rPr>
                <w:rFonts w:hint="eastAsia" w:ascii="宋体" w:hAnsi="宋体" w:eastAsia="宋体" w:cs="宋体"/>
                <w:color w:val="auto"/>
                <w:kern w:val="0"/>
                <w:sz w:val="20"/>
                <w:szCs w:val="20"/>
                <w:lang w:val="en-US" w:eastAsia="zh-CN" w:bidi="ar"/>
              </w:rPr>
              <w:t>　　0</w:t>
            </w:r>
          </w:p>
        </w:tc>
        <w:tc>
          <w:tcPr>
            <w:tcW w:w="127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color w:val="auto"/>
                <w:lang w:val="en-US"/>
              </w:rPr>
            </w:pPr>
            <w:r>
              <w:rPr>
                <w:rFonts w:hint="eastAsia" w:ascii="宋体" w:hAnsi="宋体" w:eastAsia="宋体" w:cs="宋体"/>
                <w:color w:val="auto"/>
                <w:kern w:val="0"/>
                <w:sz w:val="20"/>
                <w:szCs w:val="20"/>
                <w:lang w:val="en-US" w:eastAsia="zh-CN" w:bidi="ar"/>
              </w:rPr>
              <w:t> 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宋体" w:hAnsi="宋体" w:eastAsia="宋体" w:cs="宋体"/>
                <w:color w:val="auto"/>
                <w:kern w:val="0"/>
                <w:sz w:val="20"/>
                <w:szCs w:val="20"/>
                <w:lang w:val="en-US" w:eastAsia="zh-CN" w:bidi="ar"/>
              </w:rPr>
              <w:t>0　</w:t>
            </w:r>
          </w:p>
        </w:tc>
      </w:tr>
      <w:tr>
        <w:tblPrEx>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宋体" w:hAnsi="宋体" w:eastAsia="宋体" w:cs="宋体"/>
                <w:color w:val="auto"/>
                <w:kern w:val="0"/>
                <w:sz w:val="20"/>
                <w:szCs w:val="20"/>
                <w:lang w:val="en-US" w:eastAsia="zh-CN" w:bidi="ar"/>
              </w:rPr>
              <w:t>规范性文件</w:t>
            </w:r>
          </w:p>
        </w:tc>
        <w:tc>
          <w:tcPr>
            <w:tcW w:w="187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color w:val="auto"/>
                <w:lang w:val="en-US"/>
              </w:rPr>
            </w:pPr>
            <w:r>
              <w:rPr>
                <w:rFonts w:hint="eastAsia" w:ascii="宋体" w:hAnsi="宋体" w:eastAsia="宋体" w:cs="宋体"/>
                <w:color w:val="auto"/>
                <w:kern w:val="0"/>
                <w:sz w:val="20"/>
                <w:szCs w:val="20"/>
                <w:lang w:val="en-US" w:eastAsia="zh-CN" w:bidi="ar"/>
              </w:rPr>
              <w:t>　　0</w:t>
            </w:r>
          </w:p>
        </w:tc>
        <w:tc>
          <w:tcPr>
            <w:tcW w:w="127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color w:val="auto"/>
                <w:lang w:val="en-US"/>
              </w:rPr>
            </w:pPr>
            <w:r>
              <w:rPr>
                <w:rFonts w:hint="eastAsia" w:ascii="宋体" w:hAnsi="宋体" w:eastAsia="宋体" w:cs="宋体"/>
                <w:color w:val="auto"/>
                <w:kern w:val="0"/>
                <w:sz w:val="20"/>
                <w:szCs w:val="20"/>
                <w:lang w:val="en-US" w:eastAsia="zh-CN" w:bidi="ar"/>
              </w:rPr>
              <w:t>0 </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宋体" w:hAnsi="宋体" w:eastAsia="宋体" w:cs="宋体"/>
                <w:color w:val="auto"/>
                <w:kern w:val="0"/>
                <w:sz w:val="20"/>
                <w:szCs w:val="20"/>
                <w:lang w:val="en-US" w:eastAsia="zh-CN" w:bidi="ar"/>
              </w:rPr>
              <w:t>0　</w:t>
            </w:r>
          </w:p>
        </w:tc>
      </w:tr>
      <w:tr>
        <w:tblPrEx>
          <w:tblCellMar>
            <w:top w:w="0" w:type="dxa"/>
            <w:left w:w="0" w:type="dxa"/>
            <w:bottom w:w="0" w:type="dxa"/>
            <w:right w:w="0" w:type="dxa"/>
          </w:tblCellMar>
        </w:tblPrEx>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bidi="ar"/>
              </w:rPr>
              <w:t>第二十条第（五）项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bidi="ar"/>
              </w:rPr>
              <w:t>上一年项目数量</w:t>
            </w:r>
          </w:p>
        </w:tc>
        <w:tc>
          <w:tcPr>
            <w:tcW w:w="1271"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bidi="ar"/>
              </w:rPr>
              <w:t>本年增/减</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bidi="ar"/>
              </w:rPr>
              <w:t>处理决定数量</w:t>
            </w:r>
          </w:p>
        </w:tc>
      </w:tr>
      <w:tr>
        <w:tblPrEx>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宋体" w:hAnsi="宋体" w:eastAsia="宋体" w:cs="宋体"/>
                <w:color w:val="auto"/>
                <w:kern w:val="0"/>
                <w:sz w:val="20"/>
                <w:szCs w:val="20"/>
                <w:lang w:val="en-US" w:eastAsia="zh-CN" w:bidi="ar"/>
              </w:rPr>
              <w:t>行政许可</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color w:val="auto"/>
                <w:lang w:val="en-US"/>
              </w:rPr>
            </w:pPr>
            <w:r>
              <w:rPr>
                <w:rFonts w:hint="eastAsia" w:ascii="宋体" w:hAnsi="宋体" w:eastAsia="宋体" w:cs="宋体"/>
                <w:color w:val="auto"/>
                <w:kern w:val="0"/>
                <w:sz w:val="20"/>
                <w:szCs w:val="20"/>
                <w:lang w:val="en-US" w:eastAsia="zh-CN" w:bidi="ar"/>
              </w:rPr>
              <w:t>　127</w:t>
            </w:r>
          </w:p>
        </w:tc>
        <w:tc>
          <w:tcPr>
            <w:tcW w:w="126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color w:val="auto"/>
                <w:lang w:val="en-US"/>
              </w:rPr>
            </w:pPr>
            <w:r>
              <w:rPr>
                <w:rFonts w:hint="eastAsia" w:ascii="宋体" w:hAnsi="宋体" w:eastAsia="宋体" w:cs="宋体"/>
                <w:color w:val="auto"/>
                <w:kern w:val="0"/>
                <w:sz w:val="20"/>
                <w:szCs w:val="20"/>
                <w:lang w:val="en-US" w:eastAsia="zh-CN" w:bidi="ar"/>
              </w:rPr>
              <w:t>-9</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color w:val="auto"/>
                <w:lang w:val="en-US"/>
              </w:rPr>
            </w:pPr>
            <w:r>
              <w:rPr>
                <w:rFonts w:hint="eastAsia" w:ascii="宋体" w:hAnsi="宋体" w:eastAsia="宋体" w:cs="宋体"/>
                <w:color w:val="auto"/>
                <w:kern w:val="0"/>
                <w:sz w:val="20"/>
                <w:szCs w:val="20"/>
                <w:lang w:val="en-US" w:eastAsia="zh-CN" w:bidi="ar"/>
              </w:rPr>
              <w:t>　118</w:t>
            </w:r>
          </w:p>
        </w:tc>
      </w:tr>
      <w:tr>
        <w:tblPrEx>
          <w:tblCellMar>
            <w:top w:w="0" w:type="dxa"/>
            <w:left w:w="0" w:type="dxa"/>
            <w:bottom w:w="0" w:type="dxa"/>
            <w:right w:w="0" w:type="dxa"/>
          </w:tblCellMar>
        </w:tblPrEx>
        <w:trPr>
          <w:trHeight w:val="611"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宋体" w:hAnsi="宋体" w:eastAsia="宋体" w:cs="宋体"/>
                <w:color w:val="auto"/>
                <w:kern w:val="0"/>
                <w:sz w:val="20"/>
                <w:szCs w:val="20"/>
                <w:lang w:val="en-US" w:eastAsia="zh-CN" w:bidi="ar"/>
              </w:rPr>
              <w:t>其</w:t>
            </w:r>
            <w:bookmarkStart w:id="0" w:name="_GoBack"/>
            <w:r>
              <w:rPr>
                <w:rFonts w:hint="eastAsia" w:ascii="宋体" w:hAnsi="宋体" w:eastAsia="宋体" w:cs="宋体"/>
                <w:color w:val="auto"/>
                <w:kern w:val="0"/>
                <w:sz w:val="20"/>
                <w:szCs w:val="20"/>
                <w:lang w:val="en-US" w:eastAsia="zh-CN" w:bidi="ar"/>
              </w:rPr>
              <w:t>他对外</w:t>
            </w:r>
            <w:bookmarkEnd w:id="0"/>
            <w:r>
              <w:rPr>
                <w:rFonts w:hint="eastAsia" w:ascii="宋体" w:hAnsi="宋体" w:eastAsia="宋体" w:cs="宋体"/>
                <w:color w:val="auto"/>
                <w:kern w:val="0"/>
                <w:sz w:val="20"/>
                <w:szCs w:val="20"/>
                <w:lang w:val="en-US" w:eastAsia="zh-CN" w:bidi="ar"/>
              </w:rPr>
              <w:t>管理服务事项</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color w:val="auto"/>
                <w:lang w:val="en-US"/>
              </w:rPr>
            </w:pPr>
            <w:r>
              <w:rPr>
                <w:rFonts w:hint="eastAsia" w:ascii="宋体" w:hAnsi="宋体" w:eastAsia="宋体" w:cs="宋体"/>
                <w:color w:val="auto"/>
                <w:kern w:val="0"/>
                <w:sz w:val="20"/>
                <w:szCs w:val="20"/>
                <w:lang w:val="en-US" w:eastAsia="zh-CN" w:bidi="ar"/>
              </w:rPr>
              <w:t>　2</w:t>
            </w:r>
          </w:p>
        </w:tc>
        <w:tc>
          <w:tcPr>
            <w:tcW w:w="126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color w:val="auto"/>
                <w:lang w:val="en-US"/>
              </w:rPr>
            </w:pPr>
            <w:r>
              <w:rPr>
                <w:rFonts w:hint="eastAsia" w:ascii="宋体" w:hAnsi="宋体" w:eastAsia="宋体" w:cs="宋体"/>
                <w:color w:val="auto"/>
                <w:kern w:val="0"/>
                <w:sz w:val="20"/>
                <w:szCs w:val="20"/>
                <w:lang w:val="en-US" w:eastAsia="zh-CN" w:bidi="ar"/>
              </w:rPr>
              <w:t>　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color w:val="auto"/>
                <w:lang w:val="en-US"/>
              </w:rPr>
            </w:pPr>
            <w:r>
              <w:rPr>
                <w:rFonts w:hint="eastAsia" w:ascii="宋体" w:hAnsi="宋体" w:eastAsia="宋体" w:cs="宋体"/>
                <w:color w:val="auto"/>
                <w:kern w:val="0"/>
                <w:sz w:val="20"/>
                <w:szCs w:val="20"/>
                <w:lang w:val="en-US" w:eastAsia="zh-CN" w:bidi="ar"/>
              </w:rPr>
              <w:t>　2</w:t>
            </w:r>
          </w:p>
        </w:tc>
      </w:tr>
      <w:tr>
        <w:tblPrEx>
          <w:tblCellMar>
            <w:top w:w="0" w:type="dxa"/>
            <w:left w:w="0" w:type="dxa"/>
            <w:bottom w:w="0" w:type="dxa"/>
            <w:right w:w="0" w:type="dxa"/>
          </w:tblCellMar>
        </w:tblPrEx>
        <w:trPr>
          <w:trHeight w:val="40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bidi="ar"/>
              </w:rPr>
              <w:t>第二十条第（六）项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bidi="ar"/>
              </w:rPr>
              <w:t>上一年项目数量</w:t>
            </w:r>
          </w:p>
        </w:tc>
        <w:tc>
          <w:tcPr>
            <w:tcW w:w="1271"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bidi="ar"/>
              </w:rPr>
              <w:t>本年增/减</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bidi="ar"/>
              </w:rPr>
              <w:t>处理决定数量</w:t>
            </w:r>
          </w:p>
        </w:tc>
      </w:tr>
      <w:tr>
        <w:tblPrEx>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宋体" w:hAnsi="宋体" w:eastAsia="宋体" w:cs="宋体"/>
                <w:color w:val="auto"/>
                <w:kern w:val="0"/>
                <w:sz w:val="20"/>
                <w:szCs w:val="20"/>
                <w:lang w:val="en-US" w:eastAsia="zh-CN" w:bidi="ar"/>
              </w:rPr>
              <w:t>行政处罚</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color w:val="auto"/>
                <w:lang w:val="en-US"/>
              </w:rPr>
            </w:pPr>
            <w:r>
              <w:rPr>
                <w:rFonts w:hint="eastAsia" w:ascii="宋体" w:hAnsi="宋体" w:eastAsia="宋体" w:cs="宋体"/>
                <w:color w:val="auto"/>
                <w:kern w:val="0"/>
                <w:sz w:val="20"/>
                <w:szCs w:val="20"/>
                <w:lang w:val="en-US" w:eastAsia="zh-CN" w:bidi="ar"/>
              </w:rPr>
              <w:t>　23</w:t>
            </w:r>
          </w:p>
        </w:tc>
        <w:tc>
          <w:tcPr>
            <w:tcW w:w="126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color w:val="auto"/>
                <w:lang w:val="en-US"/>
              </w:rPr>
            </w:pPr>
            <w:r>
              <w:rPr>
                <w:rFonts w:hint="eastAsia" w:ascii="宋体" w:hAnsi="宋体" w:eastAsia="宋体" w:cs="宋体"/>
                <w:color w:val="auto"/>
                <w:kern w:val="0"/>
                <w:sz w:val="20"/>
                <w:szCs w:val="20"/>
                <w:lang w:val="en-US" w:eastAsia="zh-CN" w:bidi="ar"/>
              </w:rPr>
              <w:t>　26</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color w:val="auto"/>
                <w:lang w:val="en-US"/>
              </w:rPr>
            </w:pPr>
            <w:r>
              <w:rPr>
                <w:rFonts w:hint="eastAsia" w:ascii="宋体" w:hAnsi="宋体" w:eastAsia="宋体" w:cs="宋体"/>
                <w:color w:val="auto"/>
                <w:kern w:val="0"/>
                <w:sz w:val="20"/>
                <w:szCs w:val="20"/>
                <w:lang w:val="en-US" w:eastAsia="zh-CN" w:bidi="ar"/>
              </w:rPr>
              <w:t>49</w:t>
            </w:r>
          </w:p>
        </w:tc>
      </w:tr>
      <w:tr>
        <w:tblPrEx>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宋体" w:hAnsi="宋体" w:eastAsia="宋体" w:cs="宋体"/>
                <w:color w:val="auto"/>
                <w:kern w:val="0"/>
                <w:sz w:val="20"/>
                <w:szCs w:val="20"/>
                <w:lang w:val="en-US" w:eastAsia="zh-CN" w:bidi="ar"/>
              </w:rPr>
              <w:t>行政强制</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color w:val="auto"/>
                <w:lang w:val="en-US"/>
              </w:rPr>
            </w:pPr>
            <w:r>
              <w:rPr>
                <w:rFonts w:hint="eastAsia" w:ascii="宋体" w:hAnsi="宋体" w:eastAsia="宋体" w:cs="宋体"/>
                <w:color w:val="auto"/>
                <w:kern w:val="0"/>
                <w:sz w:val="20"/>
                <w:szCs w:val="20"/>
                <w:lang w:val="en-US" w:eastAsia="zh-CN" w:bidi="ar"/>
              </w:rPr>
              <w:t>　11</w:t>
            </w:r>
          </w:p>
        </w:tc>
        <w:tc>
          <w:tcPr>
            <w:tcW w:w="126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color w:val="auto"/>
                <w:lang w:val="en-US"/>
              </w:rPr>
            </w:pPr>
            <w:r>
              <w:rPr>
                <w:rFonts w:hint="eastAsia" w:ascii="宋体" w:hAnsi="宋体" w:eastAsia="宋体" w:cs="宋体"/>
                <w:color w:val="auto"/>
                <w:kern w:val="0"/>
                <w:sz w:val="20"/>
                <w:szCs w:val="20"/>
                <w:lang w:val="en-US" w:eastAsia="zh-CN" w:bidi="ar"/>
              </w:rPr>
              <w:t>　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color w:val="auto"/>
                <w:lang w:val="en-US"/>
              </w:rPr>
            </w:pPr>
            <w:r>
              <w:rPr>
                <w:rFonts w:hint="eastAsia" w:ascii="宋体" w:hAnsi="宋体" w:eastAsia="宋体" w:cs="宋体"/>
                <w:color w:val="auto"/>
                <w:kern w:val="0"/>
                <w:sz w:val="20"/>
                <w:szCs w:val="20"/>
                <w:lang w:val="en-US" w:eastAsia="zh-CN" w:bidi="ar"/>
              </w:rPr>
              <w:t>11</w:t>
            </w:r>
          </w:p>
        </w:tc>
      </w:tr>
      <w:tr>
        <w:tblPrEx>
          <w:tblCellMar>
            <w:top w:w="0" w:type="dxa"/>
            <w:left w:w="0" w:type="dxa"/>
            <w:bottom w:w="0" w:type="dxa"/>
            <w:right w:w="0" w:type="dxa"/>
          </w:tblCellMar>
        </w:tblPrEx>
        <w:trPr>
          <w:trHeight w:val="474"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bidi="ar"/>
              </w:rPr>
              <w:t>第二十条第（八）项</w:t>
            </w:r>
          </w:p>
        </w:tc>
      </w:tr>
      <w:tr>
        <w:tblPrEx>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bidi="ar"/>
              </w:rPr>
              <w:t>信息内容</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宋体" w:hAnsi="宋体" w:eastAsia="宋体" w:cs="宋体"/>
                <w:color w:val="auto"/>
                <w:kern w:val="0"/>
                <w:sz w:val="20"/>
                <w:szCs w:val="20"/>
                <w:lang w:val="en-US" w:eastAsia="zh-CN" w:bidi="ar"/>
              </w:rPr>
              <w:t>上一年项目数量</w:t>
            </w:r>
          </w:p>
        </w:tc>
        <w:tc>
          <w:tcPr>
            <w:tcW w:w="3146" w:type="dxa"/>
            <w:gridSpan w:val="2"/>
            <w:tcBorders>
              <w:top w:val="single" w:color="auto" w:sz="8" w:space="0"/>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bidi="ar"/>
              </w:rPr>
              <w:t>本年增/减</w:t>
            </w:r>
          </w:p>
        </w:tc>
      </w:tr>
      <w:tr>
        <w:tblPrEx>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宋体" w:hAnsi="宋体" w:eastAsia="宋体" w:cs="宋体"/>
                <w:color w:val="auto"/>
                <w:kern w:val="0"/>
                <w:sz w:val="20"/>
                <w:szCs w:val="20"/>
                <w:lang w:val="en-US" w:eastAsia="zh-CN" w:bidi="ar"/>
              </w:rPr>
              <w:t>行政事业性收费</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color w:val="auto"/>
                <w:lang w:val="en-US"/>
              </w:rPr>
            </w:pPr>
            <w:r>
              <w:rPr>
                <w:rFonts w:hint="eastAsia" w:ascii="宋体" w:hAnsi="宋体" w:eastAsia="宋体" w:cs="宋体"/>
                <w:color w:val="auto"/>
                <w:kern w:val="0"/>
                <w:sz w:val="20"/>
                <w:szCs w:val="20"/>
                <w:lang w:val="en-US" w:eastAsia="zh-CN" w:bidi="ar"/>
              </w:rPr>
              <w:t>　1</w:t>
            </w:r>
          </w:p>
        </w:tc>
        <w:tc>
          <w:tcPr>
            <w:tcW w:w="3146" w:type="dxa"/>
            <w:gridSpan w:val="2"/>
            <w:tcBorders>
              <w:top w:val="nil"/>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bidi="ar"/>
              </w:rPr>
              <w:t>0 </w:t>
            </w:r>
          </w:p>
        </w:tc>
      </w:tr>
      <w:tr>
        <w:tblPrEx>
          <w:tblCellMar>
            <w:top w:w="0" w:type="dxa"/>
            <w:left w:w="0" w:type="dxa"/>
            <w:bottom w:w="0" w:type="dxa"/>
            <w:right w:w="0" w:type="dxa"/>
          </w:tblCellMar>
        </w:tblPrEx>
        <w:trPr>
          <w:trHeight w:val="47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bidi="ar"/>
              </w:rPr>
              <w:t>第二十条第（九）项</w:t>
            </w:r>
          </w:p>
        </w:tc>
      </w:tr>
      <w:tr>
        <w:tblPrEx>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bidi="ar"/>
              </w:rPr>
              <w:t>信息内容</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bidi="ar"/>
              </w:rPr>
              <w:t>采购项目数量</w:t>
            </w:r>
          </w:p>
        </w:tc>
        <w:tc>
          <w:tcPr>
            <w:tcW w:w="3146" w:type="dxa"/>
            <w:gridSpan w:val="2"/>
            <w:tcBorders>
              <w:top w:val="single" w:color="auto" w:sz="8" w:space="0"/>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bidi="ar"/>
              </w:rPr>
              <w:t>采购总金额</w:t>
            </w:r>
          </w:p>
        </w:tc>
      </w:tr>
      <w:tr>
        <w:tblPrEx>
          <w:tblCellMar>
            <w:top w:w="0" w:type="dxa"/>
            <w:left w:w="0" w:type="dxa"/>
            <w:bottom w:w="0" w:type="dxa"/>
            <w:right w:w="0"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宋体" w:hAnsi="宋体" w:eastAsia="宋体" w:cs="宋体"/>
                <w:color w:val="auto"/>
                <w:kern w:val="0"/>
                <w:sz w:val="20"/>
                <w:szCs w:val="20"/>
                <w:lang w:val="en-US" w:eastAsia="zh-CN" w:bidi="ar"/>
              </w:rPr>
              <w:t>政府集中采购</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color w:val="auto"/>
                <w:lang w:val="en-US"/>
              </w:rPr>
            </w:pPr>
            <w:r>
              <w:rPr>
                <w:rFonts w:hint="eastAsia" w:ascii="宋体" w:hAnsi="宋体" w:eastAsia="宋体" w:cs="宋体"/>
                <w:color w:val="auto"/>
                <w:kern w:val="0"/>
                <w:sz w:val="20"/>
                <w:szCs w:val="20"/>
                <w:lang w:val="en-US" w:eastAsia="zh-CN" w:bidi="ar"/>
              </w:rPr>
              <w:t>　0</w:t>
            </w:r>
          </w:p>
        </w:tc>
        <w:tc>
          <w:tcPr>
            <w:tcW w:w="3146" w:type="dxa"/>
            <w:gridSpan w:val="2"/>
            <w:tcBorders>
              <w:top w:val="nil"/>
              <w:left w:val="nil"/>
              <w:bottom w:val="single" w:color="auto" w:sz="8" w:space="0"/>
              <w:right w:val="single" w:color="000000" w:sz="8" w:space="0"/>
            </w:tcBorders>
            <w:shd w:val="clear" w:color="auto" w:fill="auto"/>
            <w:noWrap/>
            <w:tcMar>
              <w:left w:w="108" w:type="dxa"/>
              <w:right w:w="108" w:type="dxa"/>
            </w:tcMar>
            <w:vAlign w:val="center"/>
          </w:tcPr>
          <w:p>
            <w:pPr>
              <w:rPr>
                <w:rFonts w:hint="eastAsia" w:ascii="宋体" w:eastAsiaTheme="minorEastAsia"/>
                <w:color w:val="auto"/>
                <w:sz w:val="24"/>
                <w:szCs w:val="24"/>
                <w:lang w:val="en-US" w:eastAsia="zh-CN"/>
              </w:rPr>
            </w:pPr>
            <w:r>
              <w:rPr>
                <w:rFonts w:hint="eastAsia" w:ascii="宋体"/>
                <w:color w:val="auto"/>
                <w:sz w:val="24"/>
                <w:szCs w:val="24"/>
                <w:lang w:val="en-US" w:eastAsia="zh-CN"/>
              </w:rPr>
              <w:t>0</w:t>
            </w:r>
          </w:p>
        </w:tc>
      </w:tr>
    </w:tbl>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right="0" w:rightChars="0" w:firstLine="572" w:firstLineChars="200"/>
        <w:jc w:val="both"/>
        <w:rPr>
          <w:rFonts w:hint="eastAsia" w:ascii="宋体" w:hAnsi="宋体" w:eastAsia="宋体" w:cs="宋体"/>
          <w:b/>
          <w:i w:val="0"/>
          <w:caps w:val="0"/>
          <w:color w:val="auto"/>
          <w:spacing w:val="0"/>
          <w:sz w:val="24"/>
          <w:szCs w:val="24"/>
        </w:rPr>
      </w:pPr>
      <w:r>
        <w:rPr>
          <w:rStyle w:val="6"/>
          <w:rFonts w:hint="eastAsia" w:ascii="微软雅黑" w:hAnsi="微软雅黑" w:eastAsia="微软雅黑" w:cs="微软雅黑"/>
          <w:i w:val="0"/>
          <w:caps w:val="0"/>
          <w:color w:val="auto"/>
          <w:spacing w:val="8"/>
          <w:sz w:val="27"/>
          <w:szCs w:val="27"/>
          <w:lang w:val="en-US" w:eastAsia="zh-CN"/>
        </w:rPr>
        <w:t>三、</w:t>
      </w:r>
      <w:r>
        <w:rPr>
          <w:rStyle w:val="6"/>
          <w:rFonts w:hint="eastAsia" w:ascii="微软雅黑" w:hAnsi="微软雅黑" w:eastAsia="微软雅黑" w:cs="微软雅黑"/>
          <w:i w:val="0"/>
          <w:caps w:val="0"/>
          <w:color w:val="auto"/>
          <w:spacing w:val="8"/>
          <w:sz w:val="27"/>
          <w:szCs w:val="27"/>
        </w:rPr>
        <w:t>收到和处理政府信息公开申请情况</w:t>
      </w:r>
    </w:p>
    <w:tbl>
      <w:tblPr>
        <w:tblStyle w:val="4"/>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16"/>
        <w:gridCol w:w="854"/>
        <w:gridCol w:w="2086"/>
        <w:gridCol w:w="813"/>
        <w:gridCol w:w="755"/>
        <w:gridCol w:w="755"/>
        <w:gridCol w:w="813"/>
        <w:gridCol w:w="973"/>
        <w:gridCol w:w="711"/>
        <w:gridCol w:w="6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556"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bidi="ar"/>
              </w:rPr>
              <w:t>（本列数据的勾稽关系为：第一项加第二项之和，等于第三项加第四项之和）</w:t>
            </w:r>
          </w:p>
        </w:tc>
        <w:tc>
          <w:tcPr>
            <w:tcW w:w="5515"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813"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bidi="ar"/>
              </w:rPr>
              <w:t>自然人</w:t>
            </w:r>
          </w:p>
        </w:tc>
        <w:tc>
          <w:tcPr>
            <w:tcW w:w="400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bidi="ar"/>
              </w:rPr>
              <w:t>法人或其他组织</w:t>
            </w:r>
          </w:p>
        </w:tc>
        <w:tc>
          <w:tcPr>
            <w:tcW w:w="695"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81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bidi="ar"/>
              </w:rPr>
              <w:t>商业企业</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bidi="ar"/>
              </w:rPr>
              <w:t>科研机构</w:t>
            </w:r>
          </w:p>
        </w:tc>
        <w:tc>
          <w:tcPr>
            <w:tcW w:w="81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bidi="ar"/>
              </w:rPr>
              <w:t>社会公益组织</w:t>
            </w:r>
          </w:p>
        </w:tc>
        <w:tc>
          <w:tcPr>
            <w:tcW w:w="97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bidi="ar"/>
              </w:rPr>
              <w:t>法律服务机构</w:t>
            </w:r>
          </w:p>
        </w:tc>
        <w:tc>
          <w:tcPr>
            <w:tcW w:w="71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bidi="ar"/>
              </w:rPr>
              <w:t>其他</w:t>
            </w:r>
          </w:p>
        </w:tc>
        <w:tc>
          <w:tcPr>
            <w:tcW w:w="695"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宋体" w:hAnsi="宋体" w:eastAsia="宋体" w:cs="宋体"/>
                <w:color w:val="auto"/>
                <w:kern w:val="0"/>
                <w:sz w:val="20"/>
                <w:szCs w:val="20"/>
                <w:lang w:val="en-US" w:eastAsia="zh-CN" w:bidi="ar"/>
              </w:rPr>
              <w:t>一、本年新收政府信息公开申请数量</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auto"/>
                <w:lang w:val="en-US"/>
              </w:rPr>
            </w:pPr>
            <w:r>
              <w:rPr>
                <w:rFonts w:hint="eastAsia" w:ascii="Calibri" w:hAnsi="Calibri" w:cs="Calibri"/>
                <w:color w:val="auto"/>
                <w:kern w:val="0"/>
                <w:sz w:val="20"/>
                <w:szCs w:val="20"/>
                <w:lang w:val="en-US" w:eastAsia="zh-CN" w:bidi="ar"/>
              </w:rPr>
              <w:t>0</w:t>
            </w:r>
            <w:r>
              <w:rPr>
                <w:rFonts w:ascii="Calibri" w:hAnsi="Calibri" w:cs="Calibri" w:eastAsiaTheme="minorEastAsia"/>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宋体" w:hAnsi="宋体" w:eastAsia="宋体" w:cs="宋体"/>
                <w:color w:val="auto"/>
                <w:kern w:val="0"/>
                <w:sz w:val="20"/>
                <w:szCs w:val="20"/>
                <w:lang w:val="en-US" w:eastAsia="zh-CN" w:bidi="ar"/>
              </w:rPr>
              <w:t>二、上年结转政府信息公开申请数量</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ascii="Calibri" w:hAnsi="Calibri" w:cs="Calibri" w:eastAsiaTheme="minorEastAsia"/>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bidi="ar"/>
              </w:rPr>
              <w:t>三、本年度办理结果</w:t>
            </w:r>
          </w:p>
        </w:tc>
        <w:tc>
          <w:tcPr>
            <w:tcW w:w="29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ascii="楷体" w:hAnsi="楷体" w:eastAsia="楷体" w:cs="楷体"/>
                <w:color w:val="auto"/>
                <w:kern w:val="0"/>
                <w:sz w:val="20"/>
                <w:szCs w:val="20"/>
                <w:lang w:val="en-US" w:eastAsia="zh-CN" w:bidi="ar"/>
              </w:rPr>
              <w:t>（一）予以公开</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ascii="Calibri" w:hAnsi="Calibri" w:cs="Calibri" w:eastAsiaTheme="minorEastAsia"/>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9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29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楷体" w:hAnsi="楷体" w:eastAsia="楷体" w:cs="楷体"/>
                <w:color w:val="auto"/>
                <w:kern w:val="0"/>
                <w:sz w:val="20"/>
                <w:szCs w:val="20"/>
                <w:lang w:val="en-US" w:eastAsia="zh-CN" w:bidi="ar"/>
              </w:rPr>
              <w:t>（二）部分公开（区分处理的，只计这一情形，不计其他情形）</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ascii="Calibri" w:hAnsi="Calibri" w:cs="Calibri" w:eastAsiaTheme="minorEastAsia"/>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85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楷体" w:hAnsi="楷体" w:eastAsia="楷体" w:cs="楷体"/>
                <w:color w:val="auto"/>
                <w:kern w:val="0"/>
                <w:sz w:val="20"/>
                <w:szCs w:val="20"/>
                <w:lang w:val="en-US" w:eastAsia="zh-CN" w:bidi="ar"/>
              </w:rPr>
              <w:t>（三）不予公开</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楷体" w:hAnsi="楷体" w:eastAsia="楷体" w:cs="楷体"/>
                <w:color w:val="auto"/>
                <w:kern w:val="0"/>
                <w:sz w:val="20"/>
                <w:szCs w:val="20"/>
                <w:lang w:val="en-US" w:eastAsia="zh-CN" w:bidi="ar"/>
              </w:rPr>
              <w:t>1.属于国家秘密</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ascii="Calibri" w:hAnsi="Calibri" w:cs="Calibri" w:eastAsiaTheme="minorEastAsia"/>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9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楷体" w:hAnsi="楷体" w:eastAsia="楷体" w:cs="楷体"/>
                <w:color w:val="auto"/>
                <w:kern w:val="0"/>
                <w:sz w:val="20"/>
                <w:szCs w:val="20"/>
                <w:lang w:val="en-US" w:eastAsia="zh-CN" w:bidi="ar"/>
              </w:rPr>
              <w:t>2.其他法律行政法规禁止公开</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ascii="Calibri" w:hAnsi="Calibri" w:cs="Calibri" w:eastAsiaTheme="minorEastAsia"/>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楷体" w:hAnsi="楷体" w:eastAsia="楷体" w:cs="楷体"/>
                <w:color w:val="auto"/>
                <w:kern w:val="0"/>
                <w:sz w:val="20"/>
                <w:szCs w:val="20"/>
                <w:lang w:val="en-US" w:eastAsia="zh-CN" w:bidi="ar"/>
              </w:rPr>
              <w:t>3.危及“三安全一稳定”</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ascii="Calibri" w:hAnsi="Calibri" w:cs="Calibri" w:eastAsiaTheme="minorEastAsia"/>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楷体" w:hAnsi="楷体" w:eastAsia="楷体" w:cs="楷体"/>
                <w:color w:val="auto"/>
                <w:kern w:val="0"/>
                <w:sz w:val="20"/>
                <w:szCs w:val="20"/>
                <w:lang w:val="en-US" w:eastAsia="zh-CN" w:bidi="ar"/>
              </w:rPr>
              <w:t>4.保护第三方合法权益</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ascii="Calibri" w:hAnsi="Calibri" w:cs="Calibri" w:eastAsiaTheme="minorEastAsia"/>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楷体" w:hAnsi="楷体" w:eastAsia="楷体" w:cs="楷体"/>
                <w:color w:val="auto"/>
                <w:kern w:val="0"/>
                <w:sz w:val="20"/>
                <w:szCs w:val="20"/>
                <w:lang w:val="en-US" w:eastAsia="zh-CN" w:bidi="ar"/>
              </w:rPr>
              <w:t>5.属于三类内部事务信息</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ascii="Calibri" w:hAnsi="Calibri" w:cs="Calibri" w:eastAsiaTheme="minorEastAsia"/>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楷体" w:hAnsi="楷体" w:eastAsia="楷体" w:cs="楷体"/>
                <w:color w:val="auto"/>
                <w:kern w:val="0"/>
                <w:sz w:val="20"/>
                <w:szCs w:val="20"/>
                <w:lang w:val="en-US" w:eastAsia="zh-CN" w:bidi="ar"/>
              </w:rPr>
              <w:t>6.属于四类过程性信息</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ascii="Calibri" w:hAnsi="Calibri" w:cs="Calibri" w:eastAsiaTheme="minorEastAsia"/>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楷体" w:hAnsi="楷体" w:eastAsia="楷体" w:cs="楷体"/>
                <w:color w:val="auto"/>
                <w:kern w:val="0"/>
                <w:sz w:val="20"/>
                <w:szCs w:val="20"/>
                <w:lang w:val="en-US" w:eastAsia="zh-CN" w:bidi="ar"/>
              </w:rPr>
              <w:t>7.属于行政执法案卷</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ascii="Calibri" w:hAnsi="Calibri" w:cs="Calibri" w:eastAsiaTheme="minorEastAsia"/>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楷体" w:hAnsi="楷体" w:eastAsia="楷体" w:cs="楷体"/>
                <w:color w:val="auto"/>
                <w:kern w:val="0"/>
                <w:sz w:val="20"/>
                <w:szCs w:val="20"/>
                <w:lang w:val="en-US" w:eastAsia="zh-CN" w:bidi="ar"/>
              </w:rPr>
              <w:t>8.属于行政查询事项</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ascii="Calibri" w:hAnsi="Calibri" w:cs="Calibri" w:eastAsiaTheme="minorEastAsia"/>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85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楷体" w:hAnsi="楷体" w:eastAsia="楷体" w:cs="楷体"/>
                <w:color w:val="auto"/>
                <w:kern w:val="0"/>
                <w:sz w:val="20"/>
                <w:szCs w:val="20"/>
                <w:lang w:val="en-US" w:eastAsia="zh-CN" w:bidi="ar"/>
              </w:rPr>
              <w:t>（四）无法提供</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楷体" w:hAnsi="楷体" w:eastAsia="楷体" w:cs="楷体"/>
                <w:color w:val="auto"/>
                <w:kern w:val="0"/>
                <w:sz w:val="20"/>
                <w:szCs w:val="20"/>
                <w:lang w:val="en-US" w:eastAsia="zh-CN" w:bidi="ar"/>
              </w:rPr>
              <w:t>1.本机关不掌握相关政府信息</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ascii="Calibri" w:hAnsi="Calibri" w:cs="Calibri" w:eastAsiaTheme="minorEastAsia"/>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楷体" w:hAnsi="楷体" w:eastAsia="楷体" w:cs="楷体"/>
                <w:color w:val="auto"/>
                <w:kern w:val="0"/>
                <w:sz w:val="20"/>
                <w:szCs w:val="20"/>
                <w:lang w:val="en-US" w:eastAsia="zh-CN" w:bidi="ar"/>
              </w:rPr>
              <w:t>2.没有现成信息需要另行制作</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ascii="Calibri" w:hAnsi="Calibri" w:cs="Calibri" w:eastAsiaTheme="minorEastAsia"/>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楷体" w:hAnsi="楷体" w:eastAsia="楷体" w:cs="楷体"/>
                <w:color w:val="auto"/>
                <w:kern w:val="0"/>
                <w:sz w:val="20"/>
                <w:szCs w:val="20"/>
                <w:lang w:val="en-US" w:eastAsia="zh-CN" w:bidi="ar"/>
              </w:rPr>
              <w:t>3.补正后申请内容仍不明确</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ascii="Calibri" w:hAnsi="Calibri" w:cs="Calibri" w:eastAsiaTheme="minorEastAsia"/>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85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楷体" w:hAnsi="楷体" w:eastAsia="楷体" w:cs="楷体"/>
                <w:color w:val="auto"/>
                <w:kern w:val="0"/>
                <w:sz w:val="20"/>
                <w:szCs w:val="20"/>
                <w:lang w:val="en-US" w:eastAsia="zh-CN" w:bidi="ar"/>
              </w:rPr>
              <w:t>（五）不予处理</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楷体" w:hAnsi="楷体" w:eastAsia="楷体" w:cs="楷体"/>
                <w:color w:val="auto"/>
                <w:kern w:val="0"/>
                <w:sz w:val="20"/>
                <w:szCs w:val="20"/>
                <w:lang w:val="en-US" w:eastAsia="zh-CN" w:bidi="ar"/>
              </w:rPr>
              <w:t>1.信访举报投诉类申请</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ascii="Calibri" w:hAnsi="Calibri" w:cs="Calibri" w:eastAsiaTheme="minorEastAsia"/>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楷体" w:hAnsi="楷体" w:eastAsia="楷体" w:cs="楷体"/>
                <w:color w:val="auto"/>
                <w:kern w:val="0"/>
                <w:sz w:val="20"/>
                <w:szCs w:val="20"/>
                <w:lang w:val="en-US" w:eastAsia="zh-CN" w:bidi="ar"/>
              </w:rPr>
              <w:t>2.重复申请</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ascii="Calibri" w:hAnsi="Calibri" w:cs="Calibri" w:eastAsiaTheme="minorEastAsia"/>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楷体" w:hAnsi="楷体" w:eastAsia="楷体" w:cs="楷体"/>
                <w:color w:val="auto"/>
                <w:kern w:val="0"/>
                <w:sz w:val="20"/>
                <w:szCs w:val="20"/>
                <w:lang w:val="en-US" w:eastAsia="zh-CN" w:bidi="ar"/>
              </w:rPr>
              <w:t>3.要求提供公开出版物</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ascii="Calibri" w:hAnsi="Calibri" w:cs="Calibri" w:eastAsiaTheme="minorEastAsia"/>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89"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楷体" w:hAnsi="楷体" w:eastAsia="楷体" w:cs="楷体"/>
                <w:color w:val="auto"/>
                <w:kern w:val="0"/>
                <w:sz w:val="20"/>
                <w:szCs w:val="20"/>
                <w:lang w:val="en-US" w:eastAsia="zh-CN" w:bidi="ar"/>
              </w:rPr>
              <w:t>4.无正当理由大量反复申请</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ascii="Calibri" w:hAnsi="Calibri" w:cs="Calibri" w:eastAsiaTheme="minorEastAsia"/>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楷体" w:hAnsi="楷体" w:eastAsia="楷体" w:cs="楷体"/>
                <w:color w:val="auto"/>
                <w:kern w:val="0"/>
                <w:sz w:val="20"/>
                <w:szCs w:val="20"/>
                <w:lang w:val="en-US" w:eastAsia="zh-CN" w:bidi="ar"/>
              </w:rPr>
              <w:t>5.要求行政机关确认或重新出具已获取信息</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ascii="Calibri" w:hAnsi="Calibri" w:cs="Calibri" w:eastAsiaTheme="minorEastAsia"/>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29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楷体" w:hAnsi="楷体" w:eastAsia="楷体" w:cs="楷体"/>
                <w:color w:val="auto"/>
                <w:kern w:val="0"/>
                <w:sz w:val="20"/>
                <w:szCs w:val="20"/>
                <w:lang w:val="en-US" w:eastAsia="zh-CN" w:bidi="ar"/>
              </w:rPr>
              <w:t>（六）其他处理</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ascii="Calibri" w:hAnsi="Calibri" w:cs="Calibri" w:eastAsiaTheme="minorEastAsia"/>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29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楷体" w:hAnsi="楷体" w:eastAsia="楷体" w:cs="楷体"/>
                <w:color w:val="auto"/>
                <w:kern w:val="0"/>
                <w:sz w:val="20"/>
                <w:szCs w:val="20"/>
                <w:lang w:val="en-US" w:eastAsia="zh-CN" w:bidi="ar"/>
              </w:rPr>
              <w:t>（七）总计</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ascii="Calibri" w:hAnsi="Calibri" w:cs="Calibri" w:eastAsiaTheme="minorEastAsia"/>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宋体" w:hAnsi="宋体" w:eastAsia="宋体" w:cs="宋体"/>
                <w:color w:val="auto"/>
                <w:kern w:val="0"/>
                <w:sz w:val="20"/>
                <w:szCs w:val="20"/>
                <w:lang w:val="en-US" w:eastAsia="zh-CN" w:bidi="ar"/>
              </w:rPr>
              <w:t>四、结转下年度继续办理</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ascii="Calibri" w:hAnsi="Calibri" w:cs="Calibri" w:eastAsiaTheme="minorEastAsia"/>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eastAsia" w:ascii="宋体"/>
                <w:color w:val="auto"/>
                <w:sz w:val="24"/>
                <w:szCs w:val="24"/>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r>
    </w:tbl>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0" w:rightChars="0"/>
        <w:jc w:val="both"/>
        <w:rPr>
          <w:rStyle w:val="6"/>
          <w:rFonts w:hint="eastAsia" w:ascii="微软雅黑" w:hAnsi="微软雅黑" w:eastAsia="微软雅黑" w:cs="微软雅黑"/>
          <w:i w:val="0"/>
          <w:caps w:val="0"/>
          <w:color w:val="auto"/>
          <w:spacing w:val="8"/>
          <w:sz w:val="27"/>
          <w:szCs w:val="27"/>
        </w:rPr>
      </w:pP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0" w:rightChars="0" w:firstLine="572" w:firstLineChars="200"/>
        <w:jc w:val="both"/>
        <w:rPr>
          <w:rFonts w:hint="eastAsia" w:ascii="宋体" w:hAnsi="宋体" w:eastAsia="宋体" w:cs="宋体"/>
          <w:color w:val="auto"/>
        </w:rPr>
      </w:pPr>
      <w:r>
        <w:rPr>
          <w:rStyle w:val="6"/>
          <w:rFonts w:hint="eastAsia" w:ascii="微软雅黑" w:hAnsi="微软雅黑" w:eastAsia="微软雅黑" w:cs="微软雅黑"/>
          <w:i w:val="0"/>
          <w:caps w:val="0"/>
          <w:color w:val="auto"/>
          <w:spacing w:val="8"/>
          <w:sz w:val="27"/>
          <w:szCs w:val="27"/>
        </w:rPr>
        <w:t>四、政府信息公开行政复议、行政诉讼情况</w:t>
      </w:r>
    </w:p>
    <w:tbl>
      <w:tblPr>
        <w:tblStyle w:val="4"/>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bidi="ar"/>
              </w:rPr>
              <w:t>结果维持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bidi="ar"/>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bidi="ar"/>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bidi="ar"/>
              </w:rPr>
              <w:t>尚未审结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bidi="ar"/>
              </w:rPr>
              <w:t>总计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bidi="ar"/>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bidi="ar"/>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bidi="ar"/>
              </w:rPr>
              <w:t>其他结果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bidi="ar"/>
              </w:rPr>
              <w:t>尚未审结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bidi="ar"/>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bidi="ar"/>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bidi="ar"/>
              </w:rPr>
              <w:t>其他结果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bidi="ar"/>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auto"/>
                <w:lang w:val="en-US"/>
              </w:rPr>
            </w:pPr>
            <w:r>
              <w:rPr>
                <w:rFonts w:hint="eastAsia" w:ascii="Calibri" w:hAnsi="Calibri" w:cs="Calibri"/>
                <w:color w:val="auto"/>
                <w:kern w:val="0"/>
                <w:sz w:val="20"/>
                <w:szCs w:val="20"/>
                <w:lang w:val="en-US" w:eastAsia="zh-CN" w:bidi="ar"/>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Theme="minorEastAsia"/>
                <w:color w:val="auto"/>
                <w:lang w:val="en-US" w:eastAsia="zh-CN"/>
              </w:rPr>
            </w:pPr>
            <w:r>
              <w:rPr>
                <w:rFonts w:hint="eastAsia"/>
                <w:color w:val="auto"/>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Theme="minorEastAsia"/>
                <w:color w:val="auto"/>
                <w:lang w:val="en-US" w:eastAsia="zh-CN"/>
              </w:rPr>
            </w:pPr>
            <w:r>
              <w:rPr>
                <w:rFonts w:hint="eastAsia"/>
                <w:color w:val="auto"/>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Theme="minorEastAsia"/>
                <w:color w:val="auto"/>
                <w:lang w:val="en-US" w:eastAsia="zh-CN"/>
              </w:rPr>
            </w:pPr>
            <w:r>
              <w:rPr>
                <w:rFonts w:hint="eastAsia"/>
                <w:color w:val="auto"/>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Theme="minorEastAsia"/>
                <w:color w:val="auto"/>
                <w:lang w:val="en-US" w:eastAsia="zh-CN"/>
              </w:rPr>
            </w:pPr>
            <w:r>
              <w:rPr>
                <w:rFonts w:hint="eastAsia"/>
                <w:color w:val="auto"/>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Theme="minorEastAsia"/>
                <w:color w:val="auto"/>
                <w:lang w:val="en-US" w:eastAsia="zh-CN"/>
              </w:rPr>
            </w:pPr>
            <w:r>
              <w:rPr>
                <w:rFonts w:hint="eastAsia"/>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Theme="minorEastAsia"/>
                <w:color w:val="auto"/>
                <w:lang w:val="en-US" w:eastAsia="zh-CN"/>
              </w:rPr>
            </w:pPr>
            <w:r>
              <w:rPr>
                <w:rFonts w:hint="eastAsia"/>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Theme="minorEastAsia"/>
                <w:color w:val="auto"/>
                <w:lang w:val="en-US" w:eastAsia="zh-CN"/>
              </w:rPr>
            </w:pPr>
            <w:r>
              <w:rPr>
                <w:rFonts w:hint="eastAsia"/>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Theme="minorEastAsia"/>
                <w:color w:val="auto"/>
                <w:lang w:val="en-US" w:eastAsia="zh-CN"/>
              </w:rPr>
            </w:pPr>
            <w:r>
              <w:rPr>
                <w:rFonts w:hint="eastAsia"/>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Theme="minorEastAsia"/>
                <w:color w:val="auto"/>
                <w:lang w:val="en-US" w:eastAsia="zh-CN"/>
              </w:rPr>
            </w:pPr>
            <w:r>
              <w:rPr>
                <w:rFonts w:hint="eastAsia"/>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Theme="minorEastAsia"/>
                <w:color w:val="auto"/>
                <w:lang w:val="en-US" w:eastAsia="zh-CN"/>
              </w:rPr>
            </w:pPr>
            <w:r>
              <w:rPr>
                <w:rFonts w:hint="eastAsia"/>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Theme="minorEastAsia"/>
                <w:color w:val="auto"/>
                <w:lang w:val="en-US" w:eastAsia="zh-CN"/>
              </w:rPr>
            </w:pPr>
            <w:r>
              <w:rPr>
                <w:rFonts w:hint="eastAsia"/>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Theme="minorEastAsia"/>
                <w:color w:val="auto"/>
                <w:lang w:val="en-US" w:eastAsia="zh-CN"/>
              </w:rPr>
            </w:pPr>
            <w:r>
              <w:rPr>
                <w:rFonts w:hint="eastAsia"/>
                <w:color w:val="auto"/>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Theme="minorEastAsia"/>
                <w:color w:val="auto"/>
                <w:lang w:val="en-US" w:eastAsia="zh-CN"/>
              </w:rPr>
            </w:pPr>
            <w:r>
              <w:rPr>
                <w:rFonts w:hint="eastAsia"/>
                <w:color w:val="auto"/>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eastAsiaTheme="minorEastAsia"/>
                <w:color w:val="auto"/>
                <w:sz w:val="24"/>
                <w:szCs w:val="24"/>
                <w:lang w:val="en-US" w:eastAsia="zh-CN"/>
              </w:rPr>
            </w:pPr>
            <w:r>
              <w:rPr>
                <w:rFonts w:hint="eastAsia" w:ascii="宋体"/>
                <w:color w:val="auto"/>
                <w:sz w:val="24"/>
                <w:szCs w:val="24"/>
                <w:lang w:val="en-US" w:eastAsia="zh-CN"/>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jc w:val="center"/>
        <w:rPr>
          <w:rFonts w:hint="eastAsia" w:ascii="宋体" w:hAnsi="宋体" w:eastAsia="宋体" w:cs="宋体"/>
          <w:i w:val="0"/>
          <w:caps w:val="0"/>
          <w:color w:val="auto"/>
          <w:spacing w:val="0"/>
          <w:sz w:val="24"/>
          <w:szCs w:val="24"/>
        </w:rPr>
      </w:pPr>
    </w:p>
    <w:p>
      <w:pPr>
        <w:pStyle w:val="3"/>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ind w:left="572" w:leftChars="0" w:firstLine="0" w:firstLineChars="0"/>
        <w:jc w:val="both"/>
        <w:rPr>
          <w:rStyle w:val="6"/>
          <w:rFonts w:hint="eastAsia" w:ascii="微软雅黑" w:hAnsi="微软雅黑" w:eastAsia="微软雅黑" w:cs="微软雅黑"/>
          <w:i w:val="0"/>
          <w:caps w:val="0"/>
          <w:color w:val="auto"/>
          <w:spacing w:val="8"/>
          <w:sz w:val="27"/>
          <w:szCs w:val="27"/>
        </w:rPr>
      </w:pPr>
      <w:r>
        <w:rPr>
          <w:rStyle w:val="6"/>
          <w:rFonts w:hint="eastAsia" w:ascii="微软雅黑" w:hAnsi="微软雅黑" w:eastAsia="微软雅黑" w:cs="微软雅黑"/>
          <w:i w:val="0"/>
          <w:caps w:val="0"/>
          <w:color w:val="auto"/>
          <w:spacing w:val="8"/>
          <w:sz w:val="27"/>
          <w:szCs w:val="27"/>
        </w:rPr>
        <w:t>存在的主要问题及改进情况</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left="572" w:leftChars="0" w:right="0" w:rightChars="0" w:firstLine="574" w:firstLineChars="200"/>
        <w:jc w:val="both"/>
        <w:rPr>
          <w:rStyle w:val="6"/>
          <w:rFonts w:hint="eastAsia" w:ascii="仿宋" w:hAnsi="仿宋" w:eastAsia="仿宋" w:cs="仿宋"/>
          <w:i w:val="0"/>
          <w:caps w:val="0"/>
          <w:color w:val="0000FF"/>
          <w:spacing w:val="8"/>
          <w:sz w:val="27"/>
          <w:szCs w:val="27"/>
          <w:lang w:eastAsia="zh-CN"/>
          <w14:textFill>
            <w14:gradFill>
              <w14:gsLst>
                <w14:gs w14:pos="0">
                  <w14:srgbClr w14:val="E30000"/>
                </w14:gs>
                <w14:gs w14:pos="100000">
                  <w14:srgbClr w14:val="760303"/>
                </w14:gs>
              </w14:gsLst>
              <w14:lin w14:scaled="0"/>
            </w14:gradFill>
          </w14:textFill>
        </w:rPr>
      </w:pPr>
      <w:r>
        <w:rPr>
          <w:rStyle w:val="6"/>
          <w:rFonts w:hint="eastAsia" w:ascii="仿宋" w:hAnsi="仿宋" w:eastAsia="仿宋" w:cs="仿宋"/>
          <w:i w:val="0"/>
          <w:caps w:val="0"/>
          <w:color w:val="0000FF"/>
          <w:spacing w:val="8"/>
          <w:sz w:val="27"/>
          <w:szCs w:val="27"/>
          <w:lang w:eastAsia="zh-CN"/>
          <w14:textFill>
            <w14:gradFill>
              <w14:gsLst>
                <w14:gs w14:pos="0">
                  <w14:srgbClr w14:val="E30000"/>
                </w14:gs>
                <w14:gs w14:pos="100000">
                  <w14:srgbClr w14:val="760303"/>
                </w14:gs>
              </w14:gsLst>
              <w14:lin w14:scaled="0"/>
            </w14:gradFill>
          </w14:textFill>
        </w:rPr>
        <w:t>信息公开工作力量不强，目前各科室从事政府信息公开工作的人员都为兼职人员，没有专职人员，随着每年信息公开的任务越来越重，在一定程度上影响了开展信公开工作的质量与效率。接下来，要通过强化信息公开工作组织领导，组织对信息公开人员开展业务培训与交流，提高政府信息公开工作水平。</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left="572" w:leftChars="0" w:right="0" w:rightChars="0" w:firstLine="574" w:firstLineChars="200"/>
        <w:jc w:val="both"/>
        <w:rPr>
          <w:rStyle w:val="6"/>
          <w:rFonts w:hint="eastAsia" w:ascii="仿宋" w:hAnsi="仿宋" w:eastAsia="仿宋" w:cs="仿宋"/>
          <w:i w:val="0"/>
          <w:caps w:val="0"/>
          <w:color w:val="0000FF"/>
          <w:spacing w:val="8"/>
          <w:sz w:val="27"/>
          <w:szCs w:val="27"/>
          <w:lang w:eastAsia="zh-CN"/>
          <w14:textFill>
            <w14:gradFill>
              <w14:gsLst>
                <w14:gs w14:pos="0">
                  <w14:srgbClr w14:val="E30000"/>
                </w14:gs>
                <w14:gs w14:pos="100000">
                  <w14:srgbClr w14:val="760303"/>
                </w14:gs>
              </w14:gsLst>
              <w14:lin w14:scaled="0"/>
            </w14:gradFill>
          </w14:textFill>
        </w:rPr>
      </w:pPr>
      <w:r>
        <w:rPr>
          <w:rStyle w:val="6"/>
          <w:rFonts w:hint="eastAsia" w:ascii="仿宋" w:hAnsi="仿宋" w:eastAsia="仿宋" w:cs="仿宋"/>
          <w:i w:val="0"/>
          <w:caps w:val="0"/>
          <w:color w:val="0000FF"/>
          <w:spacing w:val="8"/>
          <w:sz w:val="27"/>
          <w:szCs w:val="27"/>
          <w:lang w:eastAsia="zh-CN"/>
          <w14:textFill>
            <w14:gradFill>
              <w14:gsLst>
                <w14:gs w14:pos="0">
                  <w14:srgbClr w14:val="E30000"/>
                </w14:gs>
                <w14:gs w14:pos="100000">
                  <w14:srgbClr w14:val="760303"/>
                </w14:gs>
              </w14:gsLst>
              <w14:lin w14:scaled="0"/>
            </w14:gradFill>
          </w14:textFill>
        </w:rPr>
        <w:t>（二）信息公开质量有待提高，我局实现了公路行业和道路运输业各项行政许可项目的信息公开工作，但也还存在信息质量不够高等方面的问题，在下一步工作中，我们将进一步加强交通运输行业内全部项目信息公开工作的力度，以建立健全项目信息公开工作和信息公开长效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微软雅黑" w:hAnsi="微软雅黑" w:eastAsia="微软雅黑" w:cs="微软雅黑"/>
          <w:b w:val="0"/>
          <w:i w:val="0"/>
          <w:caps w:val="0"/>
          <w:color w:val="auto"/>
          <w:spacing w:val="8"/>
          <w:sz w:val="27"/>
          <w:szCs w:val="27"/>
        </w:rPr>
      </w:pPr>
      <w:r>
        <w:rPr>
          <w:rFonts w:hint="eastAsia" w:ascii="微软雅黑" w:hAnsi="微软雅黑" w:eastAsia="微软雅黑" w:cs="微软雅黑"/>
          <w:b w:val="0"/>
          <w:i w:val="0"/>
          <w:caps w:val="0"/>
          <w:color w:val="auto"/>
          <w:spacing w:val="8"/>
          <w:sz w:val="27"/>
          <w:szCs w:val="27"/>
        </w:rPr>
        <w:t>　　</w:t>
      </w:r>
      <w:r>
        <w:rPr>
          <w:rStyle w:val="6"/>
          <w:rFonts w:hint="eastAsia" w:ascii="微软雅黑" w:hAnsi="微软雅黑" w:eastAsia="微软雅黑" w:cs="微软雅黑"/>
          <w:i w:val="0"/>
          <w:caps w:val="0"/>
          <w:color w:val="auto"/>
          <w:spacing w:val="8"/>
          <w:sz w:val="27"/>
          <w:szCs w:val="27"/>
        </w:rPr>
        <w:t>六、其他需要报告的事项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eastAsia="微软雅黑"/>
          <w:color w:val="auto"/>
          <w:lang w:eastAsia="zh-CN"/>
        </w:rPr>
      </w:pPr>
      <w:r>
        <w:rPr>
          <w:rFonts w:hint="eastAsia" w:ascii="微软雅黑" w:hAnsi="微软雅黑" w:eastAsia="微软雅黑" w:cs="微软雅黑"/>
          <w:b w:val="0"/>
          <w:i w:val="0"/>
          <w:caps w:val="0"/>
          <w:color w:val="auto"/>
          <w:spacing w:val="8"/>
          <w:sz w:val="27"/>
          <w:szCs w:val="27"/>
        </w:rPr>
        <w:t>　　</w:t>
      </w:r>
      <w:r>
        <w:rPr>
          <w:rFonts w:hint="eastAsia" w:ascii="仿宋" w:hAnsi="仿宋" w:eastAsia="仿宋" w:cs="仿宋"/>
          <w:b w:val="0"/>
          <w:i w:val="0"/>
          <w:caps w:val="0"/>
          <w:color w:val="auto"/>
          <w:spacing w:val="8"/>
          <w:sz w:val="27"/>
          <w:szCs w:val="27"/>
          <w:lang w:eastAsia="zh-CN"/>
        </w:rPr>
        <w:t>无。</w:t>
      </w:r>
    </w:p>
    <w:p/>
    <w:p/>
    <w:p>
      <w:pPr>
        <w:rPr>
          <w:rFonts w:hint="eastAsia"/>
          <w:lang w:eastAsia="zh-CN"/>
        </w:rPr>
      </w:pPr>
    </w:p>
    <w:p>
      <w:pPr>
        <w:ind w:firstLine="5670" w:firstLineChars="2700"/>
        <w:rPr>
          <w:rFonts w:hint="eastAsia"/>
          <w:lang w:eastAsia="zh-CN"/>
        </w:rPr>
      </w:pPr>
    </w:p>
    <w:p>
      <w:pPr>
        <w:ind w:firstLine="5670" w:firstLineChars="2700"/>
        <w:rPr>
          <w:rFonts w:hint="eastAsia"/>
          <w:lang w:eastAsia="zh-CN"/>
        </w:rPr>
      </w:pPr>
      <w:r>
        <w:rPr>
          <w:rFonts w:hint="eastAsia"/>
          <w:lang w:eastAsia="zh-CN"/>
        </w:rPr>
        <w:t>江源区交通运输局</w:t>
      </w:r>
    </w:p>
    <w:p>
      <w:pPr>
        <w:ind w:firstLine="5670" w:firstLineChars="2700"/>
        <w:rPr>
          <w:rFonts w:hint="eastAsia"/>
          <w:lang w:val="en-US" w:eastAsia="zh-CN"/>
        </w:rPr>
      </w:pPr>
    </w:p>
    <w:p>
      <w:pPr>
        <w:ind w:firstLine="5670" w:firstLineChars="2700"/>
        <w:rPr>
          <w:rFonts w:hint="default"/>
          <w:lang w:val="en-US" w:eastAsia="zh-CN"/>
        </w:rPr>
      </w:pPr>
      <w:r>
        <w:rPr>
          <w:rFonts w:hint="eastAsia"/>
          <w:lang w:val="en-US" w:eastAsia="zh-CN"/>
        </w:rPr>
        <w:t>2019年12月27日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D1D374"/>
    <w:multiLevelType w:val="singleLevel"/>
    <w:tmpl w:val="86D1D374"/>
    <w:lvl w:ilvl="0" w:tentative="0">
      <w:start w:val="1"/>
      <w:numFmt w:val="chineseCounting"/>
      <w:suff w:val="nothing"/>
      <w:lvlText w:val="%1、"/>
      <w:lvlJc w:val="left"/>
      <w:rPr>
        <w:rFonts w:hint="eastAsia"/>
      </w:rPr>
    </w:lvl>
  </w:abstractNum>
  <w:abstractNum w:abstractNumId="1">
    <w:nsid w:val="D39D4F2C"/>
    <w:multiLevelType w:val="singleLevel"/>
    <w:tmpl w:val="D39D4F2C"/>
    <w:lvl w:ilvl="0" w:tentative="0">
      <w:start w:val="5"/>
      <w:numFmt w:val="chineseCounting"/>
      <w:suff w:val="nothing"/>
      <w:lvlText w:val="%1、"/>
      <w:lvlJc w:val="left"/>
      <w:pPr>
        <w:ind w:left="572" w:leftChars="0" w:firstLine="0" w:firstLineChars="0"/>
      </w:pPr>
      <w:rPr>
        <w:rFonts w:hint="eastAsia"/>
      </w:rPr>
    </w:lvl>
  </w:abstractNum>
  <w:abstractNum w:abstractNumId="2">
    <w:nsid w:val="41894DED"/>
    <w:multiLevelType w:val="singleLevel"/>
    <w:tmpl w:val="41894DED"/>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2E1DB7"/>
    <w:rsid w:val="00A8790E"/>
    <w:rsid w:val="01624810"/>
    <w:rsid w:val="092E1DB7"/>
    <w:rsid w:val="1418654D"/>
    <w:rsid w:val="1A8B455E"/>
    <w:rsid w:val="34C41131"/>
    <w:rsid w:val="35DD63B8"/>
    <w:rsid w:val="3BA51C01"/>
    <w:rsid w:val="3D24577D"/>
    <w:rsid w:val="408A61C5"/>
    <w:rsid w:val="4892790B"/>
    <w:rsid w:val="53A70A69"/>
    <w:rsid w:val="64532B4C"/>
    <w:rsid w:val="682B7F63"/>
    <w:rsid w:val="76300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2019-12-27T02:08:00Z</dcterms:created>
  <dc:creator>·</dc:creator>
  <cp:lastModifiedBy>·</cp:lastModifiedBy>
  <cp:lastPrinted>2019-12-27T03:01:00Z</cp:lastPrinted>
  <dcterms:modified xsi:type="dcterms:W3CDTF">2020-01-06T06:08:50Z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