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C85AEE">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14:paraId="3C6FE619">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14:paraId="0BC0A28F">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14:paraId="14BC5A0D">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14:paraId="13F5F919">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14:paraId="04DD758C">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14:paraId="1EFAE15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华文中宋" w:cs="Times New Roman"/>
          <w:b/>
          <w:color w:val="auto"/>
          <w:sz w:val="44"/>
          <w:szCs w:val="44"/>
        </w:rPr>
      </w:pPr>
      <w:r>
        <w:rPr>
          <w:rFonts w:hint="default" w:ascii="Times New Roman" w:hAnsi="Times New Roman" w:eastAsia="华文中宋" w:cs="Times New Roman"/>
          <w:b/>
          <w:color w:val="auto"/>
          <w:sz w:val="44"/>
          <w:szCs w:val="44"/>
        </w:rPr>
        <w:t>白山市江源区重点流域水生态环境保护</w:t>
      </w:r>
    </w:p>
    <w:p w14:paraId="4D30CE0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color w:val="auto"/>
          <w:sz w:val="48"/>
          <w:szCs w:val="48"/>
        </w:rPr>
      </w:pPr>
      <w:r>
        <w:rPr>
          <w:rFonts w:hint="default" w:ascii="Times New Roman" w:hAnsi="Times New Roman" w:eastAsia="华文中宋" w:cs="Times New Roman"/>
          <w:b/>
          <w:color w:val="auto"/>
          <w:sz w:val="44"/>
          <w:szCs w:val="44"/>
        </w:rPr>
        <w:t>“十四五”规划</w:t>
      </w:r>
    </w:p>
    <w:p w14:paraId="79854CBF">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14:paraId="5BFE895F">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14:paraId="55E14552">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14:paraId="5B3553D0">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14:paraId="7D9A91AF">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14:paraId="0FAB78ED">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14:paraId="5D95B545">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14:paraId="5BC62AE0">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14:paraId="3873B7AF">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14:paraId="59B3E31F">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14:paraId="59972418">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14:paraId="0C29897B">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14:paraId="2210ABA1">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14:paraId="3AF3C392">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14:paraId="3629CEA9">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14:paraId="6CD5015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华文中宋" w:cs="Times New Roman"/>
          <w:b/>
          <w:color w:val="auto"/>
          <w:sz w:val="32"/>
          <w:szCs w:val="32"/>
          <w:lang w:eastAsia="zh-CN"/>
        </w:rPr>
      </w:pPr>
    </w:p>
    <w:p w14:paraId="6E5BE58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华文中宋" w:cs="Times New Roman"/>
          <w:lang w:val="en-US" w:eastAsia="zh-CN"/>
        </w:rPr>
      </w:pPr>
      <w:r>
        <w:rPr>
          <w:rFonts w:hint="eastAsia" w:eastAsia="华文中宋" w:cs="Times New Roman"/>
          <w:b/>
          <w:color w:val="auto"/>
          <w:sz w:val="32"/>
          <w:szCs w:val="32"/>
          <w:lang w:val="en-US" w:eastAsia="zh-CN"/>
        </w:rPr>
        <w:t>2024年8月</w:t>
      </w:r>
    </w:p>
    <w:p w14:paraId="18003F93">
      <w:pPr>
        <w:pageBreakBefore/>
        <w:kinsoku/>
        <w:wordWrap/>
        <w:topLinePunct w:val="0"/>
        <w:autoSpaceDE/>
        <w:autoSpaceDN/>
        <w:bidi w:val="0"/>
        <w:adjustRightInd/>
        <w:snapToGrid/>
        <w:spacing w:after="312" w:afterLines="100"/>
        <w:ind w:left="0" w:leftChars="0" w:firstLine="0" w:firstLineChars="0"/>
        <w:jc w:val="center"/>
        <w:textAlignment w:val="auto"/>
        <w:rPr>
          <w:rFonts w:hint="default" w:ascii="Times New Roman" w:hAnsi="Times New Roman" w:eastAsia="宋体" w:cs="Times New Roman"/>
          <w:color w:val="auto"/>
          <w:sz w:val="44"/>
          <w:szCs w:val="44"/>
        </w:rPr>
      </w:pPr>
      <w:bookmarkStart w:id="145" w:name="_GoBack"/>
      <w:bookmarkEnd w:id="145"/>
      <w:r>
        <w:rPr>
          <w:rFonts w:hint="default" w:ascii="Times New Roman" w:hAnsi="Times New Roman" w:eastAsia="宋体" w:cs="Times New Roman"/>
          <w:color w:val="auto"/>
          <w:sz w:val="44"/>
          <w:szCs w:val="44"/>
        </w:rPr>
        <w:t>前言</w:t>
      </w:r>
    </w:p>
    <w:p w14:paraId="52C81891">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“十四五”重点流域水生态环境保护规划是《中华人民共和国水污染防治法》的法定任务，是落实习近平生态文明思想的重要举措，更是建设美丽中国的具体实践。</w:t>
      </w:r>
    </w:p>
    <w:p w14:paraId="58932404">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依据《中华人民共和国水污染防治法》第十六条规定：区级以上地方人民政府应当根据依法批准的江河、湖泊的流域水污染防治规划，组织制定本行政区域的水污染防治规划，同时2020年7月27日生态环境部组织召开了《重点流域水生态环境保护“十四五”规划编制工作推进会》，会上明确提出了“有河要有水，有水要有鱼，有鱼要有草，下河能游泳”的目标。因此，为积极推进白山市江源区重点流域水生态环境保护“十四五”规划编制工作，</w:t>
      </w:r>
      <w:r>
        <w:rPr>
          <w:rFonts w:hint="default" w:ascii="Times New Roman" w:hAnsi="Times New Roman" w:cs="Times New Roman"/>
          <w:lang w:eastAsia="zh-CN"/>
        </w:rPr>
        <w:t>长春市中科环境技术服务有限公司</w:t>
      </w:r>
      <w:r>
        <w:rPr>
          <w:rFonts w:hint="default" w:ascii="Times New Roman" w:hAnsi="Times New Roman" w:cs="Times New Roman"/>
        </w:rPr>
        <w:t>受</w:t>
      </w:r>
      <w:r>
        <w:rPr>
          <w:rFonts w:hint="default" w:ascii="Times New Roman" w:hAnsi="Times New Roman" w:cs="Times New Roman"/>
          <w:lang w:eastAsia="zh-CN"/>
        </w:rPr>
        <w:t>白山市生态环境局江源区分局</w:t>
      </w:r>
      <w:r>
        <w:rPr>
          <w:rFonts w:hint="default" w:ascii="Times New Roman" w:hAnsi="Times New Roman" w:cs="Times New Roman"/>
        </w:rPr>
        <w:t>委托担任此项工作。</w:t>
      </w:r>
    </w:p>
    <w:p w14:paraId="7B415928">
      <w:pPr>
        <w:kinsoku/>
        <w:wordWrap/>
        <w:topLinePunct w:val="0"/>
        <w:autoSpaceDE/>
        <w:autoSpaceDN/>
        <w:bidi w:val="0"/>
        <w:adjustRightInd/>
        <w:snapToGrid/>
        <w:textAlignment w:val="auto"/>
        <w:rPr>
          <w:rFonts w:hint="default" w:ascii="Times New Roman" w:hAnsi="Times New Roman" w:cs="Times New Roman"/>
        </w:rPr>
        <w:sectPr>
          <w:headerReference r:id="rId5" w:type="default"/>
          <w:footerReference r:id="rId6" w:type="default"/>
          <w:pgSz w:w="11906" w:h="16838"/>
          <w:pgMar w:top="1440" w:right="1800" w:bottom="1440" w:left="1800" w:header="851" w:footer="850" w:gutter="0"/>
          <w:pgNumType w:fmt="numberInDash"/>
          <w:cols w:space="0" w:num="1"/>
          <w:rtlGutter w:val="0"/>
          <w:docGrid w:type="lines" w:linePitch="332" w:charSpace="0"/>
        </w:sectPr>
      </w:pPr>
      <w:r>
        <w:rPr>
          <w:rFonts w:cs="Times New Roman"/>
        </w:rPr>
        <w:t>本规划以习近平生态文明思想为指导，准确把握白山市</w:t>
      </w:r>
      <w:r>
        <w:rPr>
          <w:rFonts w:hint="eastAsia" w:cs="Times New Roman"/>
          <w:lang w:val="en-US" w:eastAsia="zh-CN"/>
        </w:rPr>
        <w:t>江源区</w:t>
      </w:r>
      <w:r>
        <w:rPr>
          <w:rFonts w:cs="Times New Roman"/>
        </w:rPr>
        <w:t>“十四五”期间面临的机遇与挑战，主要阐明“十四五”时期白山市</w:t>
      </w:r>
      <w:r>
        <w:rPr>
          <w:rFonts w:hint="eastAsia" w:cs="Times New Roman"/>
          <w:lang w:val="en-US" w:eastAsia="zh-CN"/>
        </w:rPr>
        <w:t>江源区</w:t>
      </w:r>
      <w:r>
        <w:rPr>
          <w:rFonts w:cs="Times New Roman"/>
        </w:rPr>
        <w:t>水生态环境保护工作的总体目标、主要任务和重点工程，是政府履行水环境保护职责的重要依据，是今后五年全</w:t>
      </w:r>
      <w:r>
        <w:rPr>
          <w:rFonts w:hint="eastAsia" w:cs="Times New Roman"/>
          <w:lang w:val="en-US" w:eastAsia="zh-CN"/>
        </w:rPr>
        <w:t>区</w:t>
      </w:r>
      <w:r>
        <w:rPr>
          <w:rFonts w:cs="Times New Roman"/>
        </w:rPr>
        <w:t>水环境保护和生态建设工作的行动纲领。为白山进一步打造“一方好水”的靓丽名片，践行“绿水青山就是金山银山”两山发展理念提供重要保障。</w:t>
      </w:r>
    </w:p>
    <w:sdt>
      <w:sdtPr>
        <w:rPr>
          <w:rFonts w:ascii="宋体" w:hAnsi="宋体" w:eastAsia="宋体" w:cs="Times New Roman"/>
          <w:kern w:val="2"/>
          <w:sz w:val="32"/>
          <w:szCs w:val="32"/>
          <w:lang w:val="en-US" w:eastAsia="zh-CN" w:bidi="ar-SA"/>
        </w:rPr>
        <w:id w:val="147479181"/>
        <w:docPartObj>
          <w:docPartGallery w:val="Table of Contents"/>
          <w:docPartUnique/>
        </w:docPartObj>
      </w:sdtPr>
      <w:sdtEndPr>
        <w:rPr>
          <w:rFonts w:hint="default" w:ascii="Times New Roman" w:hAnsi="Times New Roman" w:eastAsia="宋体" w:cs="Times New Roman"/>
          <w:kern w:val="2"/>
          <w:sz w:val="24"/>
          <w:szCs w:val="24"/>
          <w:lang w:val="en-US" w:eastAsia="zh-CN" w:bidi="ar-SA"/>
        </w:rPr>
      </w:sdtEndPr>
      <w:sdtContent>
        <w:p w14:paraId="18DFA057">
          <w:pPr>
            <w:spacing w:before="0" w:beforeLines="0" w:after="0" w:afterLines="0" w:line="240" w:lineRule="auto"/>
            <w:ind w:left="0" w:leftChars="0" w:right="0" w:rightChars="0" w:firstLine="0" w:firstLineChars="0"/>
            <w:jc w:val="center"/>
            <w:rPr>
              <w:sz w:val="32"/>
              <w:szCs w:val="32"/>
            </w:rPr>
          </w:pPr>
          <w:r>
            <w:rPr>
              <w:rFonts w:ascii="宋体" w:hAnsi="宋体" w:eastAsia="宋体"/>
              <w:sz w:val="32"/>
              <w:szCs w:val="32"/>
            </w:rPr>
            <w:t>目录</w:t>
          </w:r>
        </w:p>
        <w:p w14:paraId="4C961DFA">
          <w:pPr>
            <w:pStyle w:val="10"/>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TOC \o "1-3" \h \u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_Toc25184 </w:instrText>
          </w:r>
          <w:r>
            <w:rPr>
              <w:rFonts w:hint="default" w:ascii="Times New Roman" w:hAnsi="Times New Roman" w:cs="Times New Roman"/>
            </w:rPr>
            <w:fldChar w:fldCharType="separate"/>
          </w:r>
          <w:r>
            <w:rPr>
              <w:rFonts w:hint="eastAsia" w:ascii="Times New Roman" w:hAnsi="Times New Roman" w:eastAsia="宋体" w:cs="宋体"/>
              <w:lang w:val="en-US" w:eastAsia="zh-CN"/>
            </w:rPr>
            <w:t xml:space="preserve">第一章 </w:t>
          </w:r>
          <w:r>
            <w:rPr>
              <w:rFonts w:hint="default"/>
            </w:rPr>
            <w:t>江源区</w:t>
          </w:r>
          <w:r>
            <w:rPr>
              <w:rFonts w:hint="eastAsia"/>
              <w:lang w:val="en-US" w:eastAsia="zh-CN"/>
            </w:rPr>
            <w:t>水生态环境状况</w:t>
          </w:r>
          <w:r>
            <w:tab/>
          </w:r>
          <w:r>
            <w:fldChar w:fldCharType="begin"/>
          </w:r>
          <w:r>
            <w:instrText xml:space="preserve"> PAGEREF _Toc25184 \h </w:instrText>
          </w:r>
          <w:r>
            <w:fldChar w:fldCharType="separate"/>
          </w:r>
          <w:r>
            <w:t>- 1 -</w:t>
          </w:r>
          <w:r>
            <w:fldChar w:fldCharType="end"/>
          </w:r>
          <w:r>
            <w:rPr>
              <w:rFonts w:hint="default" w:ascii="Times New Roman" w:hAnsi="Times New Roman" w:cs="Times New Roman"/>
            </w:rPr>
            <w:fldChar w:fldCharType="end"/>
          </w:r>
        </w:p>
        <w:p w14:paraId="6D4799F7">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_Toc17499 </w:instrText>
          </w:r>
          <w:r>
            <w:rPr>
              <w:rFonts w:hint="default" w:ascii="Times New Roman" w:hAnsi="Times New Roman" w:cs="Times New Roman"/>
            </w:rPr>
            <w:fldChar w:fldCharType="separate"/>
          </w:r>
          <w:r>
            <w:rPr>
              <w:rFonts w:hint="eastAsia" w:ascii="Times New Roman" w:hAnsi="Times New Roman" w:eastAsia="宋体" w:cs="宋体"/>
            </w:rPr>
            <w:t xml:space="preserve">1.1 </w:t>
          </w:r>
          <w:r>
            <w:rPr>
              <w:rFonts w:hint="eastAsia" w:cs="Times New Roman"/>
              <w:lang w:val="en-US" w:eastAsia="zh-CN"/>
            </w:rPr>
            <w:t>流域情况</w:t>
          </w:r>
          <w:r>
            <w:tab/>
          </w:r>
          <w:r>
            <w:fldChar w:fldCharType="begin"/>
          </w:r>
          <w:r>
            <w:instrText xml:space="preserve"> PAGEREF _Toc17499 \h </w:instrText>
          </w:r>
          <w:r>
            <w:fldChar w:fldCharType="separate"/>
          </w:r>
          <w:r>
            <w:t>- 1 -</w:t>
          </w:r>
          <w:r>
            <w:fldChar w:fldCharType="end"/>
          </w:r>
          <w:r>
            <w:rPr>
              <w:rFonts w:hint="default" w:ascii="Times New Roman" w:hAnsi="Times New Roman" w:cs="Times New Roman"/>
            </w:rPr>
            <w:fldChar w:fldCharType="end"/>
          </w:r>
        </w:p>
        <w:p w14:paraId="4FF512AE">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_Toc2410 </w:instrText>
          </w:r>
          <w:r>
            <w:rPr>
              <w:rFonts w:hint="default" w:ascii="Times New Roman" w:hAnsi="Times New Roman" w:cs="Times New Roman"/>
            </w:rPr>
            <w:fldChar w:fldCharType="separate"/>
          </w:r>
          <w:r>
            <w:rPr>
              <w:rFonts w:hint="eastAsia" w:ascii="Times New Roman" w:hAnsi="Times New Roman" w:eastAsia="宋体" w:cs="宋体"/>
            </w:rPr>
            <w:t xml:space="preserve">1.1.1 </w:t>
          </w:r>
          <w:r>
            <w:rPr>
              <w:rFonts w:hint="eastAsia"/>
              <w:lang w:val="en-US" w:eastAsia="zh-CN"/>
            </w:rPr>
            <w:t>流域范围</w:t>
          </w:r>
          <w:r>
            <w:tab/>
          </w:r>
          <w:r>
            <w:fldChar w:fldCharType="begin"/>
          </w:r>
          <w:r>
            <w:instrText xml:space="preserve"> PAGEREF _Toc2410 \h </w:instrText>
          </w:r>
          <w:r>
            <w:fldChar w:fldCharType="separate"/>
          </w:r>
          <w:r>
            <w:t>- 1 -</w:t>
          </w:r>
          <w:r>
            <w:fldChar w:fldCharType="end"/>
          </w:r>
          <w:r>
            <w:rPr>
              <w:rFonts w:hint="default" w:ascii="Times New Roman" w:hAnsi="Times New Roman" w:cs="Times New Roman"/>
            </w:rPr>
            <w:fldChar w:fldCharType="end"/>
          </w:r>
        </w:p>
        <w:p w14:paraId="32EC92D4">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_Toc31721 </w:instrText>
          </w:r>
          <w:r>
            <w:rPr>
              <w:rFonts w:hint="default" w:ascii="Times New Roman" w:hAnsi="Times New Roman" w:cs="Times New Roman"/>
            </w:rPr>
            <w:fldChar w:fldCharType="separate"/>
          </w:r>
          <w:r>
            <w:rPr>
              <w:rFonts w:hint="eastAsia" w:ascii="Times New Roman" w:hAnsi="Times New Roman" w:eastAsia="宋体" w:cs="宋体"/>
            </w:rPr>
            <w:t xml:space="preserve">1.1.2 </w:t>
          </w:r>
          <w:r>
            <w:rPr>
              <w:rFonts w:hint="eastAsia"/>
              <w:lang w:val="en-US" w:eastAsia="zh-CN"/>
            </w:rPr>
            <w:t>自然概况</w:t>
          </w:r>
          <w:r>
            <w:tab/>
          </w:r>
          <w:r>
            <w:fldChar w:fldCharType="begin"/>
          </w:r>
          <w:r>
            <w:instrText xml:space="preserve"> PAGEREF _Toc31721 \h </w:instrText>
          </w:r>
          <w:r>
            <w:fldChar w:fldCharType="separate"/>
          </w:r>
          <w:r>
            <w:t>- 1 -</w:t>
          </w:r>
          <w:r>
            <w:fldChar w:fldCharType="end"/>
          </w:r>
          <w:r>
            <w:rPr>
              <w:rFonts w:hint="default" w:ascii="Times New Roman" w:hAnsi="Times New Roman" w:cs="Times New Roman"/>
            </w:rPr>
            <w:fldChar w:fldCharType="end"/>
          </w:r>
        </w:p>
        <w:p w14:paraId="238A0240">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_Toc5974 </w:instrText>
          </w:r>
          <w:r>
            <w:rPr>
              <w:rFonts w:hint="default" w:ascii="Times New Roman" w:hAnsi="Times New Roman" w:cs="Times New Roman"/>
            </w:rPr>
            <w:fldChar w:fldCharType="separate"/>
          </w:r>
          <w:r>
            <w:rPr>
              <w:rFonts w:hint="eastAsia" w:ascii="Times New Roman" w:hAnsi="Times New Roman" w:eastAsia="宋体" w:cs="宋体"/>
            </w:rPr>
            <w:t xml:space="preserve">1.1.3 </w:t>
          </w:r>
          <w:r>
            <w:rPr>
              <w:rFonts w:hint="default"/>
            </w:rPr>
            <w:t>社会经济概况</w:t>
          </w:r>
          <w:r>
            <w:tab/>
          </w:r>
          <w:r>
            <w:fldChar w:fldCharType="begin"/>
          </w:r>
          <w:r>
            <w:instrText xml:space="preserve"> PAGEREF _Toc5974 \h </w:instrText>
          </w:r>
          <w:r>
            <w:fldChar w:fldCharType="separate"/>
          </w:r>
          <w:r>
            <w:t>- 5 -</w:t>
          </w:r>
          <w:r>
            <w:fldChar w:fldCharType="end"/>
          </w:r>
          <w:r>
            <w:rPr>
              <w:rFonts w:hint="default" w:ascii="Times New Roman" w:hAnsi="Times New Roman" w:cs="Times New Roman"/>
            </w:rPr>
            <w:fldChar w:fldCharType="end"/>
          </w:r>
        </w:p>
        <w:p w14:paraId="4E0E5B5A">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_Toc1156 </w:instrText>
          </w:r>
          <w:r>
            <w:rPr>
              <w:rFonts w:hint="default" w:ascii="Times New Roman" w:hAnsi="Times New Roman" w:cs="Times New Roman"/>
            </w:rPr>
            <w:fldChar w:fldCharType="separate"/>
          </w:r>
          <w:r>
            <w:rPr>
              <w:rFonts w:hint="eastAsia" w:ascii="Times New Roman" w:hAnsi="Times New Roman" w:eastAsia="宋体" w:cs="宋体"/>
            </w:rPr>
            <w:t xml:space="preserve">1.1.4 </w:t>
          </w:r>
          <w:r>
            <w:rPr>
              <w:rFonts w:hint="default"/>
            </w:rPr>
            <w:t>控制单元划分</w:t>
          </w:r>
          <w:r>
            <w:tab/>
          </w:r>
          <w:r>
            <w:fldChar w:fldCharType="begin"/>
          </w:r>
          <w:r>
            <w:instrText xml:space="preserve"> PAGEREF _Toc1156 \h </w:instrText>
          </w:r>
          <w:r>
            <w:fldChar w:fldCharType="separate"/>
          </w:r>
          <w:r>
            <w:t>- 6 -</w:t>
          </w:r>
          <w:r>
            <w:fldChar w:fldCharType="end"/>
          </w:r>
          <w:r>
            <w:rPr>
              <w:rFonts w:hint="default" w:ascii="Times New Roman" w:hAnsi="Times New Roman" w:cs="Times New Roman"/>
            </w:rPr>
            <w:fldChar w:fldCharType="end"/>
          </w:r>
        </w:p>
        <w:p w14:paraId="3F025F0C">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_Toc30214 </w:instrText>
          </w:r>
          <w:r>
            <w:rPr>
              <w:rFonts w:hint="default" w:ascii="Times New Roman" w:hAnsi="Times New Roman" w:cs="Times New Roman"/>
            </w:rPr>
            <w:fldChar w:fldCharType="separate"/>
          </w:r>
          <w:r>
            <w:rPr>
              <w:rFonts w:hint="eastAsia" w:ascii="Times New Roman" w:hAnsi="Times New Roman" w:eastAsia="宋体" w:cs="宋体"/>
            </w:rPr>
            <w:t xml:space="preserve">1.2 </w:t>
          </w:r>
          <w:r>
            <w:rPr>
              <w:rFonts w:hint="default"/>
            </w:rPr>
            <w:t>水环境质量现状</w:t>
          </w:r>
          <w:r>
            <w:tab/>
          </w:r>
          <w:r>
            <w:fldChar w:fldCharType="begin"/>
          </w:r>
          <w:r>
            <w:instrText xml:space="preserve"> PAGEREF _Toc30214 \h </w:instrText>
          </w:r>
          <w:r>
            <w:fldChar w:fldCharType="separate"/>
          </w:r>
          <w:r>
            <w:t>- 10 -</w:t>
          </w:r>
          <w:r>
            <w:fldChar w:fldCharType="end"/>
          </w:r>
          <w:r>
            <w:rPr>
              <w:rFonts w:hint="default" w:ascii="Times New Roman" w:hAnsi="Times New Roman" w:cs="Times New Roman"/>
            </w:rPr>
            <w:fldChar w:fldCharType="end"/>
          </w:r>
        </w:p>
        <w:p w14:paraId="0C4E5114">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_Toc20496 </w:instrText>
          </w:r>
          <w:r>
            <w:rPr>
              <w:rFonts w:hint="default" w:ascii="Times New Roman" w:hAnsi="Times New Roman" w:cs="Times New Roman"/>
            </w:rPr>
            <w:fldChar w:fldCharType="separate"/>
          </w:r>
          <w:r>
            <w:rPr>
              <w:rFonts w:hint="eastAsia" w:ascii="Times New Roman" w:hAnsi="Times New Roman" w:eastAsia="宋体" w:cs="宋体"/>
            </w:rPr>
            <w:t xml:space="preserve">1.2.1 </w:t>
          </w:r>
          <w:r>
            <w:rPr>
              <w:rFonts w:hint="default"/>
            </w:rPr>
            <w:t>河流水质现状</w:t>
          </w:r>
          <w:r>
            <w:tab/>
          </w:r>
          <w:r>
            <w:fldChar w:fldCharType="begin"/>
          </w:r>
          <w:r>
            <w:instrText xml:space="preserve"> PAGEREF _Toc20496 \h </w:instrText>
          </w:r>
          <w:r>
            <w:fldChar w:fldCharType="separate"/>
          </w:r>
          <w:r>
            <w:t>- 10 -</w:t>
          </w:r>
          <w:r>
            <w:fldChar w:fldCharType="end"/>
          </w:r>
          <w:r>
            <w:rPr>
              <w:rFonts w:hint="default" w:ascii="Times New Roman" w:hAnsi="Times New Roman" w:cs="Times New Roman"/>
            </w:rPr>
            <w:fldChar w:fldCharType="end"/>
          </w:r>
        </w:p>
        <w:p w14:paraId="424E8596">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_Toc26930 </w:instrText>
          </w:r>
          <w:r>
            <w:rPr>
              <w:rFonts w:hint="default" w:ascii="Times New Roman" w:hAnsi="Times New Roman" w:cs="Times New Roman"/>
            </w:rPr>
            <w:fldChar w:fldCharType="separate"/>
          </w:r>
          <w:r>
            <w:rPr>
              <w:rFonts w:hint="eastAsia" w:ascii="Times New Roman" w:hAnsi="Times New Roman" w:eastAsia="宋体" w:cs="宋体"/>
            </w:rPr>
            <w:t xml:space="preserve">1.2.2 </w:t>
          </w:r>
          <w:r>
            <w:rPr>
              <w:rFonts w:hint="default" w:ascii="Times New Roman" w:hAnsi="Times New Roman" w:cs="Times New Roman"/>
            </w:rPr>
            <w:t>饮用水水源</w:t>
          </w:r>
          <w:r>
            <w:tab/>
          </w:r>
          <w:r>
            <w:fldChar w:fldCharType="begin"/>
          </w:r>
          <w:r>
            <w:instrText xml:space="preserve"> PAGEREF _Toc26930 \h </w:instrText>
          </w:r>
          <w:r>
            <w:fldChar w:fldCharType="separate"/>
          </w:r>
          <w:r>
            <w:t>- 13 -</w:t>
          </w:r>
          <w:r>
            <w:fldChar w:fldCharType="end"/>
          </w:r>
          <w:r>
            <w:rPr>
              <w:rFonts w:hint="default" w:ascii="Times New Roman" w:hAnsi="Times New Roman" w:cs="Times New Roman"/>
            </w:rPr>
            <w:fldChar w:fldCharType="end"/>
          </w:r>
        </w:p>
        <w:p w14:paraId="171A0CF3">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_Toc20283 </w:instrText>
          </w:r>
          <w:r>
            <w:rPr>
              <w:rFonts w:hint="default" w:ascii="Times New Roman" w:hAnsi="Times New Roman" w:cs="Times New Roman"/>
            </w:rPr>
            <w:fldChar w:fldCharType="separate"/>
          </w:r>
          <w:r>
            <w:rPr>
              <w:rFonts w:hint="eastAsia" w:ascii="Times New Roman" w:hAnsi="Times New Roman" w:eastAsia="宋体" w:cs="宋体"/>
            </w:rPr>
            <w:t xml:space="preserve">1.2.3 </w:t>
          </w:r>
          <w:r>
            <w:rPr>
              <w:rFonts w:hint="default" w:ascii="Times New Roman" w:hAnsi="Times New Roman" w:cs="Times New Roman"/>
            </w:rPr>
            <w:t>黑臭水体</w:t>
          </w:r>
          <w:r>
            <w:tab/>
          </w:r>
          <w:r>
            <w:fldChar w:fldCharType="begin"/>
          </w:r>
          <w:r>
            <w:instrText xml:space="preserve"> PAGEREF _Toc20283 \h </w:instrText>
          </w:r>
          <w:r>
            <w:fldChar w:fldCharType="separate"/>
          </w:r>
          <w:r>
            <w:t>- 16 -</w:t>
          </w:r>
          <w:r>
            <w:fldChar w:fldCharType="end"/>
          </w:r>
          <w:r>
            <w:rPr>
              <w:rFonts w:hint="default" w:ascii="Times New Roman" w:hAnsi="Times New Roman" w:cs="Times New Roman"/>
            </w:rPr>
            <w:fldChar w:fldCharType="end"/>
          </w:r>
        </w:p>
        <w:p w14:paraId="4FBF8465">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_Toc1403 </w:instrText>
          </w:r>
          <w:r>
            <w:rPr>
              <w:rFonts w:hint="default" w:ascii="Times New Roman" w:hAnsi="Times New Roman" w:cs="Times New Roman"/>
            </w:rPr>
            <w:fldChar w:fldCharType="separate"/>
          </w:r>
          <w:r>
            <w:rPr>
              <w:rFonts w:hint="eastAsia" w:ascii="Times New Roman" w:hAnsi="Times New Roman" w:eastAsia="宋体" w:cs="宋体"/>
            </w:rPr>
            <w:t xml:space="preserve">1.3 </w:t>
          </w:r>
          <w:r>
            <w:rPr>
              <w:rFonts w:hint="default" w:ascii="Times New Roman" w:hAnsi="Times New Roman" w:cs="Times New Roman"/>
            </w:rPr>
            <w:t>生态流量现状</w:t>
          </w:r>
          <w:r>
            <w:tab/>
          </w:r>
          <w:r>
            <w:fldChar w:fldCharType="begin"/>
          </w:r>
          <w:r>
            <w:instrText xml:space="preserve"> PAGEREF _Toc1403 \h </w:instrText>
          </w:r>
          <w:r>
            <w:fldChar w:fldCharType="separate"/>
          </w:r>
          <w:r>
            <w:t>- 17 -</w:t>
          </w:r>
          <w:r>
            <w:fldChar w:fldCharType="end"/>
          </w:r>
          <w:r>
            <w:rPr>
              <w:rFonts w:hint="default" w:ascii="Times New Roman" w:hAnsi="Times New Roman" w:cs="Times New Roman"/>
            </w:rPr>
            <w:fldChar w:fldCharType="end"/>
          </w:r>
        </w:p>
        <w:p w14:paraId="06132C37">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_Toc20949 </w:instrText>
          </w:r>
          <w:r>
            <w:rPr>
              <w:rFonts w:hint="default" w:ascii="Times New Roman" w:hAnsi="Times New Roman" w:cs="Times New Roman"/>
            </w:rPr>
            <w:fldChar w:fldCharType="separate"/>
          </w:r>
          <w:r>
            <w:rPr>
              <w:rFonts w:hint="eastAsia" w:ascii="Times New Roman" w:hAnsi="Times New Roman" w:eastAsia="宋体" w:cs="宋体"/>
            </w:rPr>
            <w:t xml:space="preserve">1.4 </w:t>
          </w:r>
          <w:r>
            <w:rPr>
              <w:rFonts w:hint="default" w:ascii="Times New Roman" w:hAnsi="Times New Roman" w:cs="Times New Roman"/>
            </w:rPr>
            <w:t>水生态现状</w:t>
          </w:r>
          <w:r>
            <w:tab/>
          </w:r>
          <w:r>
            <w:fldChar w:fldCharType="begin"/>
          </w:r>
          <w:r>
            <w:instrText xml:space="preserve"> PAGEREF _Toc20949 \h </w:instrText>
          </w:r>
          <w:r>
            <w:fldChar w:fldCharType="separate"/>
          </w:r>
          <w:r>
            <w:t>- 18 -</w:t>
          </w:r>
          <w:r>
            <w:fldChar w:fldCharType="end"/>
          </w:r>
          <w:r>
            <w:rPr>
              <w:rFonts w:hint="default" w:ascii="Times New Roman" w:hAnsi="Times New Roman" w:cs="Times New Roman"/>
            </w:rPr>
            <w:fldChar w:fldCharType="end"/>
          </w:r>
        </w:p>
        <w:p w14:paraId="7E97D3C0">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_Toc10730 </w:instrText>
          </w:r>
          <w:r>
            <w:rPr>
              <w:rFonts w:hint="default" w:ascii="Times New Roman" w:hAnsi="Times New Roman" w:cs="Times New Roman"/>
            </w:rPr>
            <w:fldChar w:fldCharType="separate"/>
          </w:r>
          <w:r>
            <w:rPr>
              <w:rFonts w:hint="eastAsia" w:ascii="Times New Roman" w:hAnsi="Times New Roman" w:eastAsia="宋体" w:cs="宋体"/>
            </w:rPr>
            <w:t xml:space="preserve">1.5 </w:t>
          </w:r>
          <w:r>
            <w:rPr>
              <w:rFonts w:hint="default" w:ascii="Times New Roman" w:hAnsi="Times New Roman" w:cs="Times New Roman"/>
            </w:rPr>
            <w:t>水污染物排放状况</w:t>
          </w:r>
          <w:r>
            <w:tab/>
          </w:r>
          <w:r>
            <w:fldChar w:fldCharType="begin"/>
          </w:r>
          <w:r>
            <w:instrText xml:space="preserve"> PAGEREF _Toc10730 \h </w:instrText>
          </w:r>
          <w:r>
            <w:fldChar w:fldCharType="separate"/>
          </w:r>
          <w:r>
            <w:t>- 18 -</w:t>
          </w:r>
          <w:r>
            <w:fldChar w:fldCharType="end"/>
          </w:r>
          <w:r>
            <w:rPr>
              <w:rFonts w:hint="default" w:ascii="Times New Roman" w:hAnsi="Times New Roman" w:cs="Times New Roman"/>
            </w:rPr>
            <w:fldChar w:fldCharType="end"/>
          </w:r>
        </w:p>
        <w:p w14:paraId="1FEDFD61">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_Toc30636 </w:instrText>
          </w:r>
          <w:r>
            <w:rPr>
              <w:rFonts w:hint="default" w:ascii="Times New Roman" w:hAnsi="Times New Roman" w:cs="Times New Roman"/>
            </w:rPr>
            <w:fldChar w:fldCharType="separate"/>
          </w:r>
          <w:r>
            <w:rPr>
              <w:rFonts w:hint="eastAsia" w:ascii="Times New Roman" w:hAnsi="Times New Roman" w:eastAsia="宋体" w:cs="宋体"/>
            </w:rPr>
            <w:t xml:space="preserve">1.5.1 </w:t>
          </w:r>
          <w:r>
            <w:rPr>
              <w:rFonts w:hint="default" w:ascii="Times New Roman" w:hAnsi="Times New Roman" w:cs="Times New Roman"/>
            </w:rPr>
            <w:t>污水排放量</w:t>
          </w:r>
          <w:r>
            <w:tab/>
          </w:r>
          <w:r>
            <w:fldChar w:fldCharType="begin"/>
          </w:r>
          <w:r>
            <w:instrText xml:space="preserve"> PAGEREF _Toc30636 \h </w:instrText>
          </w:r>
          <w:r>
            <w:fldChar w:fldCharType="separate"/>
          </w:r>
          <w:r>
            <w:t>- 18 -</w:t>
          </w:r>
          <w:r>
            <w:fldChar w:fldCharType="end"/>
          </w:r>
          <w:r>
            <w:rPr>
              <w:rFonts w:hint="default" w:ascii="Times New Roman" w:hAnsi="Times New Roman" w:cs="Times New Roman"/>
            </w:rPr>
            <w:fldChar w:fldCharType="end"/>
          </w:r>
        </w:p>
        <w:p w14:paraId="024896BB">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_Toc9232 </w:instrText>
          </w:r>
          <w:r>
            <w:rPr>
              <w:rFonts w:hint="default" w:ascii="Times New Roman" w:hAnsi="Times New Roman" w:cs="Times New Roman"/>
            </w:rPr>
            <w:fldChar w:fldCharType="separate"/>
          </w:r>
          <w:r>
            <w:rPr>
              <w:rFonts w:hint="eastAsia" w:ascii="Times New Roman" w:hAnsi="Times New Roman" w:eastAsia="宋体" w:cs="宋体"/>
            </w:rPr>
            <w:t xml:space="preserve">1.5.2 </w:t>
          </w:r>
          <w:r>
            <w:rPr>
              <w:rFonts w:hint="default"/>
            </w:rPr>
            <w:t>污水处理情况</w:t>
          </w:r>
          <w:r>
            <w:tab/>
          </w:r>
          <w:r>
            <w:fldChar w:fldCharType="begin"/>
          </w:r>
          <w:r>
            <w:instrText xml:space="preserve"> PAGEREF _Toc9232 \h </w:instrText>
          </w:r>
          <w:r>
            <w:fldChar w:fldCharType="separate"/>
          </w:r>
          <w:r>
            <w:t>- 19 -</w:t>
          </w:r>
          <w:r>
            <w:fldChar w:fldCharType="end"/>
          </w:r>
          <w:r>
            <w:rPr>
              <w:rFonts w:hint="default" w:ascii="Times New Roman" w:hAnsi="Times New Roman" w:cs="Times New Roman"/>
            </w:rPr>
            <w:fldChar w:fldCharType="end"/>
          </w:r>
        </w:p>
        <w:p w14:paraId="348BFE27">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_Toc22233 </w:instrText>
          </w:r>
          <w:r>
            <w:rPr>
              <w:rFonts w:hint="default" w:ascii="Times New Roman" w:hAnsi="Times New Roman" w:cs="Times New Roman"/>
            </w:rPr>
            <w:fldChar w:fldCharType="separate"/>
          </w:r>
          <w:r>
            <w:rPr>
              <w:rFonts w:hint="eastAsia" w:ascii="Times New Roman" w:hAnsi="Times New Roman" w:eastAsia="宋体" w:cs="宋体"/>
            </w:rPr>
            <w:t xml:space="preserve">1.5.3 </w:t>
          </w:r>
          <w:r>
            <w:rPr>
              <w:rFonts w:hint="default" w:ascii="Times New Roman" w:hAnsi="Times New Roman" w:cs="Times New Roman"/>
            </w:rPr>
            <w:t>污水管网建设情况</w:t>
          </w:r>
          <w:r>
            <w:tab/>
          </w:r>
          <w:r>
            <w:fldChar w:fldCharType="begin"/>
          </w:r>
          <w:r>
            <w:instrText xml:space="preserve"> PAGEREF _Toc22233 \h </w:instrText>
          </w:r>
          <w:r>
            <w:fldChar w:fldCharType="separate"/>
          </w:r>
          <w:r>
            <w:t>- 20 -</w:t>
          </w:r>
          <w:r>
            <w:fldChar w:fldCharType="end"/>
          </w:r>
          <w:r>
            <w:rPr>
              <w:rFonts w:hint="default" w:ascii="Times New Roman" w:hAnsi="Times New Roman" w:cs="Times New Roman"/>
            </w:rPr>
            <w:fldChar w:fldCharType="end"/>
          </w:r>
        </w:p>
        <w:p w14:paraId="624412E6">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_Toc27603 </w:instrText>
          </w:r>
          <w:r>
            <w:rPr>
              <w:rFonts w:hint="default" w:ascii="Times New Roman" w:hAnsi="Times New Roman" w:cs="Times New Roman"/>
            </w:rPr>
            <w:fldChar w:fldCharType="separate"/>
          </w:r>
          <w:r>
            <w:rPr>
              <w:rFonts w:hint="eastAsia" w:ascii="Times New Roman" w:hAnsi="Times New Roman" w:eastAsia="宋体" w:cs="宋体"/>
            </w:rPr>
            <w:t xml:space="preserve">1.6 </w:t>
          </w:r>
          <w:r>
            <w:rPr>
              <w:rFonts w:hint="default" w:ascii="Times New Roman" w:hAnsi="Times New Roman" w:cs="Times New Roman"/>
            </w:rPr>
            <w:t>水资源状况</w:t>
          </w:r>
          <w:r>
            <w:tab/>
          </w:r>
          <w:r>
            <w:fldChar w:fldCharType="begin"/>
          </w:r>
          <w:r>
            <w:instrText xml:space="preserve"> PAGEREF _Toc27603 \h </w:instrText>
          </w:r>
          <w:r>
            <w:fldChar w:fldCharType="separate"/>
          </w:r>
          <w:r>
            <w:t>- 20 -</w:t>
          </w:r>
          <w:r>
            <w:fldChar w:fldCharType="end"/>
          </w:r>
          <w:r>
            <w:rPr>
              <w:rFonts w:hint="default" w:ascii="Times New Roman" w:hAnsi="Times New Roman" w:cs="Times New Roman"/>
            </w:rPr>
            <w:fldChar w:fldCharType="end"/>
          </w:r>
        </w:p>
        <w:p w14:paraId="7A64F67A">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_Toc25942 </w:instrText>
          </w:r>
          <w:r>
            <w:rPr>
              <w:rFonts w:hint="default" w:ascii="Times New Roman" w:hAnsi="Times New Roman" w:cs="Times New Roman"/>
            </w:rPr>
            <w:fldChar w:fldCharType="separate"/>
          </w:r>
          <w:r>
            <w:rPr>
              <w:rFonts w:hint="eastAsia" w:ascii="Times New Roman" w:hAnsi="Times New Roman" w:eastAsia="宋体" w:cs="宋体"/>
            </w:rPr>
            <w:t xml:space="preserve">1.6.1 </w:t>
          </w:r>
          <w:r>
            <w:rPr>
              <w:rFonts w:hint="default" w:ascii="Times New Roman" w:hAnsi="Times New Roman" w:cs="Times New Roman"/>
            </w:rPr>
            <w:t>水资源量分析</w:t>
          </w:r>
          <w:r>
            <w:tab/>
          </w:r>
          <w:r>
            <w:fldChar w:fldCharType="begin"/>
          </w:r>
          <w:r>
            <w:instrText xml:space="preserve"> PAGEREF _Toc25942 \h </w:instrText>
          </w:r>
          <w:r>
            <w:fldChar w:fldCharType="separate"/>
          </w:r>
          <w:r>
            <w:t>- 20 -</w:t>
          </w:r>
          <w:r>
            <w:fldChar w:fldCharType="end"/>
          </w:r>
          <w:r>
            <w:rPr>
              <w:rFonts w:hint="default" w:ascii="Times New Roman" w:hAnsi="Times New Roman" w:cs="Times New Roman"/>
            </w:rPr>
            <w:fldChar w:fldCharType="end"/>
          </w:r>
        </w:p>
        <w:p w14:paraId="56BC7B99">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_Toc20013 </w:instrText>
          </w:r>
          <w:r>
            <w:rPr>
              <w:rFonts w:hint="default" w:ascii="Times New Roman" w:hAnsi="Times New Roman" w:cs="Times New Roman"/>
            </w:rPr>
            <w:fldChar w:fldCharType="separate"/>
          </w:r>
          <w:r>
            <w:rPr>
              <w:rFonts w:hint="eastAsia" w:ascii="Times New Roman" w:hAnsi="Times New Roman" w:eastAsia="宋体" w:cs="宋体"/>
            </w:rPr>
            <w:t xml:space="preserve">1.6.2 </w:t>
          </w:r>
          <w:r>
            <w:rPr>
              <w:rFonts w:hint="default" w:ascii="Times New Roman" w:hAnsi="Times New Roman" w:cs="Times New Roman"/>
            </w:rPr>
            <w:t>水资源开发利用分析</w:t>
          </w:r>
          <w:r>
            <w:tab/>
          </w:r>
          <w:r>
            <w:fldChar w:fldCharType="begin"/>
          </w:r>
          <w:r>
            <w:instrText xml:space="preserve"> PAGEREF _Toc20013 \h </w:instrText>
          </w:r>
          <w:r>
            <w:fldChar w:fldCharType="separate"/>
          </w:r>
          <w:r>
            <w:t>- 21 -</w:t>
          </w:r>
          <w:r>
            <w:fldChar w:fldCharType="end"/>
          </w:r>
          <w:r>
            <w:rPr>
              <w:rFonts w:hint="default" w:ascii="Times New Roman" w:hAnsi="Times New Roman" w:cs="Times New Roman"/>
            </w:rPr>
            <w:fldChar w:fldCharType="end"/>
          </w:r>
        </w:p>
        <w:p w14:paraId="280B8B3C">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_Toc22391 </w:instrText>
          </w:r>
          <w:r>
            <w:rPr>
              <w:rFonts w:hint="default" w:ascii="Times New Roman" w:hAnsi="Times New Roman" w:cs="Times New Roman"/>
            </w:rPr>
            <w:fldChar w:fldCharType="separate"/>
          </w:r>
          <w:r>
            <w:rPr>
              <w:rFonts w:hint="eastAsia" w:ascii="Times New Roman" w:hAnsi="Times New Roman" w:eastAsia="宋体" w:cs="宋体"/>
            </w:rPr>
            <w:t xml:space="preserve">1.7 </w:t>
          </w:r>
          <w:r>
            <w:rPr>
              <w:rFonts w:hint="default" w:ascii="Times New Roman" w:hAnsi="Times New Roman" w:cs="Times New Roman"/>
            </w:rPr>
            <w:t>水环境风险状况</w:t>
          </w:r>
          <w:r>
            <w:tab/>
          </w:r>
          <w:r>
            <w:fldChar w:fldCharType="begin"/>
          </w:r>
          <w:r>
            <w:instrText xml:space="preserve"> PAGEREF _Toc22391 \h </w:instrText>
          </w:r>
          <w:r>
            <w:fldChar w:fldCharType="separate"/>
          </w:r>
          <w:r>
            <w:t>- 22 -</w:t>
          </w:r>
          <w:r>
            <w:fldChar w:fldCharType="end"/>
          </w:r>
          <w:r>
            <w:rPr>
              <w:rFonts w:hint="default" w:ascii="Times New Roman" w:hAnsi="Times New Roman" w:cs="Times New Roman"/>
            </w:rPr>
            <w:fldChar w:fldCharType="end"/>
          </w:r>
        </w:p>
        <w:p w14:paraId="2C3CC8CE">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_Toc25692 </w:instrText>
          </w:r>
          <w:r>
            <w:rPr>
              <w:rFonts w:hint="default" w:ascii="Times New Roman" w:hAnsi="Times New Roman" w:cs="Times New Roman"/>
            </w:rPr>
            <w:fldChar w:fldCharType="separate"/>
          </w:r>
          <w:r>
            <w:rPr>
              <w:rFonts w:hint="eastAsia" w:ascii="Times New Roman" w:hAnsi="Times New Roman" w:eastAsia="宋体" w:cs="宋体"/>
            </w:rPr>
            <w:t xml:space="preserve">1.7.1 </w:t>
          </w:r>
          <w:r>
            <w:rPr>
              <w:rFonts w:hint="default" w:ascii="Times New Roman" w:hAnsi="Times New Roman" w:cs="Times New Roman"/>
            </w:rPr>
            <w:t>尾矿污染风险</w:t>
          </w:r>
          <w:r>
            <w:tab/>
          </w:r>
          <w:r>
            <w:fldChar w:fldCharType="begin"/>
          </w:r>
          <w:r>
            <w:instrText xml:space="preserve"> PAGEREF _Toc25692 \h </w:instrText>
          </w:r>
          <w:r>
            <w:fldChar w:fldCharType="separate"/>
          </w:r>
          <w:r>
            <w:t>- 22 -</w:t>
          </w:r>
          <w:r>
            <w:fldChar w:fldCharType="end"/>
          </w:r>
          <w:r>
            <w:rPr>
              <w:rFonts w:hint="default" w:ascii="Times New Roman" w:hAnsi="Times New Roman" w:cs="Times New Roman"/>
            </w:rPr>
            <w:fldChar w:fldCharType="end"/>
          </w:r>
        </w:p>
        <w:p w14:paraId="74EC4B91">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_Toc9942 </w:instrText>
          </w:r>
          <w:r>
            <w:rPr>
              <w:rFonts w:hint="default" w:ascii="Times New Roman" w:hAnsi="Times New Roman" w:cs="Times New Roman"/>
            </w:rPr>
            <w:fldChar w:fldCharType="separate"/>
          </w:r>
          <w:r>
            <w:rPr>
              <w:rFonts w:hint="eastAsia" w:ascii="Times New Roman" w:hAnsi="Times New Roman" w:eastAsia="宋体" w:cs="宋体"/>
            </w:rPr>
            <w:t xml:space="preserve">1.7.2 </w:t>
          </w:r>
          <w:r>
            <w:rPr>
              <w:rFonts w:hint="default" w:ascii="Times New Roman" w:hAnsi="Times New Roman" w:cs="Times New Roman"/>
            </w:rPr>
            <w:t>水土流失风险</w:t>
          </w:r>
          <w:r>
            <w:tab/>
          </w:r>
          <w:r>
            <w:fldChar w:fldCharType="begin"/>
          </w:r>
          <w:r>
            <w:instrText xml:space="preserve"> PAGEREF _Toc9942 \h </w:instrText>
          </w:r>
          <w:r>
            <w:fldChar w:fldCharType="separate"/>
          </w:r>
          <w:r>
            <w:t>- 23 -</w:t>
          </w:r>
          <w:r>
            <w:fldChar w:fldCharType="end"/>
          </w:r>
          <w:r>
            <w:rPr>
              <w:rFonts w:hint="default" w:ascii="Times New Roman" w:hAnsi="Times New Roman" w:cs="Times New Roman"/>
            </w:rPr>
            <w:fldChar w:fldCharType="end"/>
          </w:r>
        </w:p>
        <w:p w14:paraId="1655321D">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_Toc14745 </w:instrText>
          </w:r>
          <w:r>
            <w:rPr>
              <w:rFonts w:hint="default" w:ascii="Times New Roman" w:hAnsi="Times New Roman" w:cs="Times New Roman"/>
            </w:rPr>
            <w:fldChar w:fldCharType="separate"/>
          </w:r>
          <w:r>
            <w:rPr>
              <w:rFonts w:hint="eastAsia" w:ascii="Times New Roman" w:hAnsi="Times New Roman" w:eastAsia="宋体" w:cs="宋体"/>
            </w:rPr>
            <w:t xml:space="preserve">1.8 </w:t>
          </w:r>
          <w:r>
            <w:rPr>
              <w:rFonts w:hint="default"/>
            </w:rPr>
            <w:t>“十三五”成效经验</w:t>
          </w:r>
          <w:r>
            <w:tab/>
          </w:r>
          <w:r>
            <w:fldChar w:fldCharType="begin"/>
          </w:r>
          <w:r>
            <w:instrText xml:space="preserve"> PAGEREF _Toc14745 \h </w:instrText>
          </w:r>
          <w:r>
            <w:fldChar w:fldCharType="separate"/>
          </w:r>
          <w:r>
            <w:t>- 23 -</w:t>
          </w:r>
          <w:r>
            <w:fldChar w:fldCharType="end"/>
          </w:r>
          <w:r>
            <w:rPr>
              <w:rFonts w:hint="default" w:ascii="Times New Roman" w:hAnsi="Times New Roman" w:cs="Times New Roman"/>
            </w:rPr>
            <w:fldChar w:fldCharType="end"/>
          </w:r>
        </w:p>
        <w:p w14:paraId="2E6024E2">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_Toc29095 </w:instrText>
          </w:r>
          <w:r>
            <w:rPr>
              <w:rFonts w:hint="default" w:ascii="Times New Roman" w:hAnsi="Times New Roman" w:cs="Times New Roman"/>
            </w:rPr>
            <w:fldChar w:fldCharType="separate"/>
          </w:r>
          <w:r>
            <w:rPr>
              <w:rFonts w:hint="eastAsia" w:ascii="Times New Roman" w:hAnsi="Times New Roman" w:eastAsia="宋体" w:cs="宋体"/>
            </w:rPr>
            <w:t xml:space="preserve">1.9 </w:t>
          </w:r>
          <w:r>
            <w:rPr>
              <w:rFonts w:hint="default" w:ascii="Times New Roman" w:hAnsi="Times New Roman" w:cs="Times New Roman"/>
            </w:rPr>
            <w:t>主要问题识别</w:t>
          </w:r>
          <w:r>
            <w:tab/>
          </w:r>
          <w:r>
            <w:fldChar w:fldCharType="begin"/>
          </w:r>
          <w:r>
            <w:instrText xml:space="preserve"> PAGEREF _Toc29095 \h </w:instrText>
          </w:r>
          <w:r>
            <w:fldChar w:fldCharType="separate"/>
          </w:r>
          <w:r>
            <w:t>- 24 -</w:t>
          </w:r>
          <w:r>
            <w:fldChar w:fldCharType="end"/>
          </w:r>
          <w:r>
            <w:rPr>
              <w:rFonts w:hint="default" w:ascii="Times New Roman" w:hAnsi="Times New Roman" w:cs="Times New Roman"/>
            </w:rPr>
            <w:fldChar w:fldCharType="end"/>
          </w:r>
        </w:p>
        <w:p w14:paraId="11656575">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_Toc15273 </w:instrText>
          </w:r>
          <w:r>
            <w:rPr>
              <w:rFonts w:hint="default" w:ascii="Times New Roman" w:hAnsi="Times New Roman" w:cs="Times New Roman"/>
            </w:rPr>
            <w:fldChar w:fldCharType="separate"/>
          </w:r>
          <w:r>
            <w:rPr>
              <w:rFonts w:hint="eastAsia" w:ascii="Times New Roman" w:hAnsi="Times New Roman" w:eastAsia="宋体" w:cs="宋体"/>
            </w:rPr>
            <w:t xml:space="preserve">1.9.1 </w:t>
          </w:r>
          <w:r>
            <w:rPr>
              <w:rFonts w:hint="default" w:ascii="Times New Roman" w:hAnsi="Times New Roman" w:cs="Times New Roman"/>
            </w:rPr>
            <w:t>江源（浑）/大阳岔断面汇水范围</w:t>
          </w:r>
          <w:r>
            <w:tab/>
          </w:r>
          <w:r>
            <w:fldChar w:fldCharType="begin"/>
          </w:r>
          <w:r>
            <w:instrText xml:space="preserve"> PAGEREF _Toc15273 \h </w:instrText>
          </w:r>
          <w:r>
            <w:fldChar w:fldCharType="separate"/>
          </w:r>
          <w:r>
            <w:t>- 24 -</w:t>
          </w:r>
          <w:r>
            <w:fldChar w:fldCharType="end"/>
          </w:r>
          <w:r>
            <w:rPr>
              <w:rFonts w:hint="default" w:ascii="Times New Roman" w:hAnsi="Times New Roman" w:cs="Times New Roman"/>
            </w:rPr>
            <w:fldChar w:fldCharType="end"/>
          </w:r>
        </w:p>
        <w:p w14:paraId="479F2369">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_Toc32145 </w:instrText>
          </w:r>
          <w:r>
            <w:rPr>
              <w:rFonts w:hint="default" w:ascii="Times New Roman" w:hAnsi="Times New Roman" w:cs="Times New Roman"/>
            </w:rPr>
            <w:fldChar w:fldCharType="separate"/>
          </w:r>
          <w:r>
            <w:rPr>
              <w:rFonts w:hint="eastAsia" w:ascii="Times New Roman" w:hAnsi="Times New Roman" w:eastAsia="宋体" w:cs="宋体"/>
              <w:szCs w:val="24"/>
            </w:rPr>
            <w:t xml:space="preserve">1.9.2 </w:t>
          </w:r>
          <w:r>
            <w:rPr>
              <w:rFonts w:hint="default" w:ascii="Times New Roman" w:hAnsi="Times New Roman" w:eastAsia="宋体" w:cs="Times New Roman"/>
              <w:szCs w:val="24"/>
            </w:rPr>
            <w:t>西村断面汇水范围</w:t>
          </w:r>
          <w:r>
            <w:tab/>
          </w:r>
          <w:r>
            <w:fldChar w:fldCharType="begin"/>
          </w:r>
          <w:r>
            <w:instrText xml:space="preserve"> PAGEREF _Toc32145 \h </w:instrText>
          </w:r>
          <w:r>
            <w:fldChar w:fldCharType="separate"/>
          </w:r>
          <w:r>
            <w:t>- 27 -</w:t>
          </w:r>
          <w:r>
            <w:fldChar w:fldCharType="end"/>
          </w:r>
          <w:r>
            <w:rPr>
              <w:rFonts w:hint="default" w:ascii="Times New Roman" w:hAnsi="Times New Roman" w:cs="Times New Roman"/>
            </w:rPr>
            <w:fldChar w:fldCharType="end"/>
          </w:r>
        </w:p>
        <w:p w14:paraId="53FB483A">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_Toc13499 </w:instrText>
          </w:r>
          <w:r>
            <w:rPr>
              <w:rFonts w:hint="default" w:ascii="Times New Roman" w:hAnsi="Times New Roman" w:cs="Times New Roman"/>
            </w:rPr>
            <w:fldChar w:fldCharType="separate"/>
          </w:r>
          <w:r>
            <w:rPr>
              <w:rFonts w:hint="eastAsia" w:ascii="Times New Roman" w:hAnsi="Times New Roman" w:eastAsia="宋体" w:cs="宋体"/>
            </w:rPr>
            <w:t xml:space="preserve">1.9.3 </w:t>
          </w:r>
          <w:r>
            <w:rPr>
              <w:rFonts w:hint="default"/>
            </w:rPr>
            <w:t>松花江流域参乡一号桥断面汇水范围</w:t>
          </w:r>
          <w:r>
            <w:tab/>
          </w:r>
          <w:r>
            <w:fldChar w:fldCharType="begin"/>
          </w:r>
          <w:r>
            <w:instrText xml:space="preserve"> PAGEREF _Toc13499 \h </w:instrText>
          </w:r>
          <w:r>
            <w:fldChar w:fldCharType="separate"/>
          </w:r>
          <w:r>
            <w:t>- 30 -</w:t>
          </w:r>
          <w:r>
            <w:fldChar w:fldCharType="end"/>
          </w:r>
          <w:r>
            <w:rPr>
              <w:rFonts w:hint="default" w:ascii="Times New Roman" w:hAnsi="Times New Roman" w:cs="Times New Roman"/>
            </w:rPr>
            <w:fldChar w:fldCharType="end"/>
          </w:r>
        </w:p>
        <w:p w14:paraId="7E7D24B3">
          <w:pPr>
            <w:pStyle w:val="10"/>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_Toc16752 </w:instrText>
          </w:r>
          <w:r>
            <w:rPr>
              <w:rFonts w:hint="default" w:ascii="Times New Roman" w:hAnsi="Times New Roman" w:cs="Times New Roman"/>
            </w:rPr>
            <w:fldChar w:fldCharType="separate"/>
          </w:r>
          <w:r>
            <w:rPr>
              <w:rFonts w:hint="eastAsia" w:ascii="Times New Roman" w:hAnsi="Times New Roman" w:eastAsia="宋体" w:cs="宋体"/>
            </w:rPr>
            <w:t xml:space="preserve">第二章 </w:t>
          </w:r>
          <w:r>
            <w:rPr>
              <w:rFonts w:hint="eastAsia" w:cs="Times New Roman"/>
              <w:lang w:val="en-US" w:eastAsia="zh-CN"/>
            </w:rPr>
            <w:t>总体要求</w:t>
          </w:r>
          <w:r>
            <w:tab/>
          </w:r>
          <w:r>
            <w:fldChar w:fldCharType="begin"/>
          </w:r>
          <w:r>
            <w:instrText xml:space="preserve"> PAGEREF _Toc16752 \h </w:instrText>
          </w:r>
          <w:r>
            <w:fldChar w:fldCharType="separate"/>
          </w:r>
          <w:r>
            <w:t>- 35 -</w:t>
          </w:r>
          <w:r>
            <w:fldChar w:fldCharType="end"/>
          </w:r>
          <w:r>
            <w:rPr>
              <w:rFonts w:hint="default" w:ascii="Times New Roman" w:hAnsi="Times New Roman" w:cs="Times New Roman"/>
            </w:rPr>
            <w:fldChar w:fldCharType="end"/>
          </w:r>
        </w:p>
        <w:p w14:paraId="0F2414B1">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_Toc17722 </w:instrText>
          </w:r>
          <w:r>
            <w:rPr>
              <w:rFonts w:hint="default" w:ascii="Times New Roman" w:hAnsi="Times New Roman" w:cs="Times New Roman"/>
            </w:rPr>
            <w:fldChar w:fldCharType="separate"/>
          </w:r>
          <w:r>
            <w:rPr>
              <w:rFonts w:hint="eastAsia" w:ascii="Times New Roman" w:hAnsi="Times New Roman" w:eastAsia="宋体" w:cs="宋体"/>
            </w:rPr>
            <w:t xml:space="preserve">2.1 </w:t>
          </w:r>
          <w:r>
            <w:rPr>
              <w:rFonts w:hint="default" w:ascii="Times New Roman" w:hAnsi="Times New Roman" w:cs="Times New Roman"/>
            </w:rPr>
            <w:t>编制依据</w:t>
          </w:r>
          <w:r>
            <w:tab/>
          </w:r>
          <w:r>
            <w:fldChar w:fldCharType="begin"/>
          </w:r>
          <w:r>
            <w:instrText xml:space="preserve"> PAGEREF _Toc17722 \h </w:instrText>
          </w:r>
          <w:r>
            <w:fldChar w:fldCharType="separate"/>
          </w:r>
          <w:r>
            <w:t>- 35 -</w:t>
          </w:r>
          <w:r>
            <w:fldChar w:fldCharType="end"/>
          </w:r>
          <w:r>
            <w:rPr>
              <w:rFonts w:hint="default" w:ascii="Times New Roman" w:hAnsi="Times New Roman" w:cs="Times New Roman"/>
            </w:rPr>
            <w:fldChar w:fldCharType="end"/>
          </w:r>
        </w:p>
        <w:p w14:paraId="277477E3">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_Toc3082 </w:instrText>
          </w:r>
          <w:r>
            <w:rPr>
              <w:rFonts w:hint="default" w:ascii="Times New Roman" w:hAnsi="Times New Roman" w:cs="Times New Roman"/>
            </w:rPr>
            <w:fldChar w:fldCharType="separate"/>
          </w:r>
          <w:r>
            <w:rPr>
              <w:rFonts w:hint="eastAsia" w:ascii="Times New Roman" w:hAnsi="Times New Roman" w:eastAsia="宋体" w:cs="宋体"/>
            </w:rPr>
            <w:t xml:space="preserve">2.1.1 </w:t>
          </w:r>
          <w:r>
            <w:rPr>
              <w:rFonts w:hint="default" w:ascii="Times New Roman" w:hAnsi="Times New Roman" w:cs="Times New Roman"/>
            </w:rPr>
            <w:t>法律法规</w:t>
          </w:r>
          <w:r>
            <w:tab/>
          </w:r>
          <w:r>
            <w:fldChar w:fldCharType="begin"/>
          </w:r>
          <w:r>
            <w:instrText xml:space="preserve"> PAGEREF _Toc3082 \h </w:instrText>
          </w:r>
          <w:r>
            <w:fldChar w:fldCharType="separate"/>
          </w:r>
          <w:r>
            <w:t>- 35 -</w:t>
          </w:r>
          <w:r>
            <w:fldChar w:fldCharType="end"/>
          </w:r>
          <w:r>
            <w:rPr>
              <w:rFonts w:hint="default" w:ascii="Times New Roman" w:hAnsi="Times New Roman" w:cs="Times New Roman"/>
            </w:rPr>
            <w:fldChar w:fldCharType="end"/>
          </w:r>
        </w:p>
        <w:p w14:paraId="2A77BA84">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_Toc1539 </w:instrText>
          </w:r>
          <w:r>
            <w:rPr>
              <w:rFonts w:hint="default" w:ascii="Times New Roman" w:hAnsi="Times New Roman" w:cs="Times New Roman"/>
            </w:rPr>
            <w:fldChar w:fldCharType="separate"/>
          </w:r>
          <w:r>
            <w:rPr>
              <w:rFonts w:hint="eastAsia" w:ascii="Times New Roman" w:hAnsi="Times New Roman" w:eastAsia="宋体" w:cs="宋体"/>
            </w:rPr>
            <w:t xml:space="preserve">2.1.2 </w:t>
          </w:r>
          <w:r>
            <w:rPr>
              <w:rFonts w:hint="default" w:ascii="Times New Roman" w:hAnsi="Times New Roman" w:cs="Times New Roman"/>
            </w:rPr>
            <w:t>政策文件</w:t>
          </w:r>
          <w:r>
            <w:tab/>
          </w:r>
          <w:r>
            <w:fldChar w:fldCharType="begin"/>
          </w:r>
          <w:r>
            <w:instrText xml:space="preserve"> PAGEREF _Toc1539 \h </w:instrText>
          </w:r>
          <w:r>
            <w:fldChar w:fldCharType="separate"/>
          </w:r>
          <w:r>
            <w:t>- 35 -</w:t>
          </w:r>
          <w:r>
            <w:fldChar w:fldCharType="end"/>
          </w:r>
          <w:r>
            <w:rPr>
              <w:rFonts w:hint="default" w:ascii="Times New Roman" w:hAnsi="Times New Roman" w:cs="Times New Roman"/>
            </w:rPr>
            <w:fldChar w:fldCharType="end"/>
          </w:r>
        </w:p>
        <w:p w14:paraId="3EB4B192">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_Toc7689 </w:instrText>
          </w:r>
          <w:r>
            <w:rPr>
              <w:rFonts w:hint="default" w:ascii="Times New Roman" w:hAnsi="Times New Roman" w:cs="Times New Roman"/>
            </w:rPr>
            <w:fldChar w:fldCharType="separate"/>
          </w:r>
          <w:r>
            <w:rPr>
              <w:rFonts w:hint="eastAsia" w:ascii="Times New Roman" w:hAnsi="Times New Roman" w:eastAsia="宋体" w:cs="宋体"/>
            </w:rPr>
            <w:t xml:space="preserve">2.1.3 </w:t>
          </w:r>
          <w:r>
            <w:rPr>
              <w:rFonts w:hint="default" w:ascii="Times New Roman" w:hAnsi="Times New Roman" w:cs="Times New Roman"/>
            </w:rPr>
            <w:t>相关国家标准及技术文件</w:t>
          </w:r>
          <w:r>
            <w:tab/>
          </w:r>
          <w:r>
            <w:fldChar w:fldCharType="begin"/>
          </w:r>
          <w:r>
            <w:instrText xml:space="preserve"> PAGEREF _Toc7689 \h </w:instrText>
          </w:r>
          <w:r>
            <w:fldChar w:fldCharType="separate"/>
          </w:r>
          <w:r>
            <w:t>- 35 -</w:t>
          </w:r>
          <w:r>
            <w:fldChar w:fldCharType="end"/>
          </w:r>
          <w:r>
            <w:rPr>
              <w:rFonts w:hint="default" w:ascii="Times New Roman" w:hAnsi="Times New Roman" w:cs="Times New Roman"/>
            </w:rPr>
            <w:fldChar w:fldCharType="end"/>
          </w:r>
        </w:p>
        <w:p w14:paraId="7E248198">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_Toc12437 </w:instrText>
          </w:r>
          <w:r>
            <w:rPr>
              <w:rFonts w:hint="default" w:ascii="Times New Roman" w:hAnsi="Times New Roman" w:cs="Times New Roman"/>
            </w:rPr>
            <w:fldChar w:fldCharType="separate"/>
          </w:r>
          <w:r>
            <w:rPr>
              <w:rFonts w:hint="eastAsia" w:ascii="Times New Roman" w:hAnsi="Times New Roman" w:eastAsia="宋体" w:cs="宋体"/>
            </w:rPr>
            <w:t xml:space="preserve">2.1.4 </w:t>
          </w:r>
          <w:r>
            <w:rPr>
              <w:rFonts w:hint="default" w:ascii="Times New Roman" w:hAnsi="Times New Roman" w:cs="Times New Roman"/>
            </w:rPr>
            <w:t>地方相关法规、文件、标准</w:t>
          </w:r>
          <w:r>
            <w:tab/>
          </w:r>
          <w:r>
            <w:fldChar w:fldCharType="begin"/>
          </w:r>
          <w:r>
            <w:instrText xml:space="preserve"> PAGEREF _Toc12437 \h </w:instrText>
          </w:r>
          <w:r>
            <w:fldChar w:fldCharType="separate"/>
          </w:r>
          <w:r>
            <w:t>- 35 -</w:t>
          </w:r>
          <w:r>
            <w:fldChar w:fldCharType="end"/>
          </w:r>
          <w:r>
            <w:rPr>
              <w:rFonts w:hint="default" w:ascii="Times New Roman" w:hAnsi="Times New Roman" w:cs="Times New Roman"/>
            </w:rPr>
            <w:fldChar w:fldCharType="end"/>
          </w:r>
        </w:p>
        <w:p w14:paraId="0F07FACC">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_Toc25541 </w:instrText>
          </w:r>
          <w:r>
            <w:rPr>
              <w:rFonts w:hint="default" w:ascii="Times New Roman" w:hAnsi="Times New Roman" w:cs="Times New Roman"/>
            </w:rPr>
            <w:fldChar w:fldCharType="separate"/>
          </w:r>
          <w:r>
            <w:rPr>
              <w:rFonts w:hint="eastAsia" w:ascii="Times New Roman" w:hAnsi="Times New Roman" w:eastAsia="宋体" w:cs="宋体"/>
            </w:rPr>
            <w:t xml:space="preserve">2.2 </w:t>
          </w:r>
          <w:r>
            <w:rPr>
              <w:rFonts w:hint="default" w:ascii="Times New Roman" w:hAnsi="Times New Roman" w:cs="Times New Roman"/>
            </w:rPr>
            <w:t>规划范围与时限</w:t>
          </w:r>
          <w:r>
            <w:tab/>
          </w:r>
          <w:r>
            <w:fldChar w:fldCharType="begin"/>
          </w:r>
          <w:r>
            <w:instrText xml:space="preserve"> PAGEREF _Toc25541 \h </w:instrText>
          </w:r>
          <w:r>
            <w:fldChar w:fldCharType="separate"/>
          </w:r>
          <w:r>
            <w:t>- 36 -</w:t>
          </w:r>
          <w:r>
            <w:fldChar w:fldCharType="end"/>
          </w:r>
          <w:r>
            <w:rPr>
              <w:rFonts w:hint="default" w:ascii="Times New Roman" w:hAnsi="Times New Roman" w:cs="Times New Roman"/>
            </w:rPr>
            <w:fldChar w:fldCharType="end"/>
          </w:r>
        </w:p>
        <w:p w14:paraId="2CECF824">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_Toc22955 </w:instrText>
          </w:r>
          <w:r>
            <w:rPr>
              <w:rFonts w:hint="default" w:ascii="Times New Roman" w:hAnsi="Times New Roman" w:cs="Times New Roman"/>
            </w:rPr>
            <w:fldChar w:fldCharType="separate"/>
          </w:r>
          <w:r>
            <w:rPr>
              <w:rFonts w:hint="eastAsia" w:ascii="Times New Roman" w:hAnsi="Times New Roman" w:eastAsia="宋体" w:cs="宋体"/>
              <w:lang w:val="en-US" w:eastAsia="zh-CN"/>
            </w:rPr>
            <w:t xml:space="preserve">2.3 </w:t>
          </w:r>
          <w:r>
            <w:rPr>
              <w:rFonts w:hint="eastAsia"/>
              <w:lang w:val="en-US" w:eastAsia="zh-CN"/>
            </w:rPr>
            <w:t>指导思想</w:t>
          </w:r>
          <w:r>
            <w:tab/>
          </w:r>
          <w:r>
            <w:fldChar w:fldCharType="begin"/>
          </w:r>
          <w:r>
            <w:instrText xml:space="preserve"> PAGEREF _Toc22955 \h </w:instrText>
          </w:r>
          <w:r>
            <w:fldChar w:fldCharType="separate"/>
          </w:r>
          <w:r>
            <w:t>- 36 -</w:t>
          </w:r>
          <w:r>
            <w:fldChar w:fldCharType="end"/>
          </w:r>
          <w:r>
            <w:rPr>
              <w:rFonts w:hint="default" w:ascii="Times New Roman" w:hAnsi="Times New Roman" w:cs="Times New Roman"/>
            </w:rPr>
            <w:fldChar w:fldCharType="end"/>
          </w:r>
        </w:p>
        <w:p w14:paraId="6D64A9AF">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_Toc6597 </w:instrText>
          </w:r>
          <w:r>
            <w:rPr>
              <w:rFonts w:hint="default" w:ascii="Times New Roman" w:hAnsi="Times New Roman" w:cs="Times New Roman"/>
            </w:rPr>
            <w:fldChar w:fldCharType="separate"/>
          </w:r>
          <w:r>
            <w:rPr>
              <w:rFonts w:hint="eastAsia" w:ascii="Times New Roman" w:hAnsi="Times New Roman" w:eastAsia="宋体" w:cs="宋体"/>
            </w:rPr>
            <w:t xml:space="preserve">2.4 </w:t>
          </w:r>
          <w:r>
            <w:rPr>
              <w:rFonts w:hint="default" w:ascii="Times New Roman" w:hAnsi="Times New Roman" w:cs="Times New Roman"/>
            </w:rPr>
            <w:t>编制原则</w:t>
          </w:r>
          <w:r>
            <w:tab/>
          </w:r>
          <w:r>
            <w:fldChar w:fldCharType="begin"/>
          </w:r>
          <w:r>
            <w:instrText xml:space="preserve"> PAGEREF _Toc6597 \h </w:instrText>
          </w:r>
          <w:r>
            <w:fldChar w:fldCharType="separate"/>
          </w:r>
          <w:r>
            <w:t>- 37 -</w:t>
          </w:r>
          <w:r>
            <w:fldChar w:fldCharType="end"/>
          </w:r>
          <w:r>
            <w:rPr>
              <w:rFonts w:hint="default" w:ascii="Times New Roman" w:hAnsi="Times New Roman" w:cs="Times New Roman"/>
            </w:rPr>
            <w:fldChar w:fldCharType="end"/>
          </w:r>
        </w:p>
        <w:p w14:paraId="24E32CE4">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_Toc17281 </w:instrText>
          </w:r>
          <w:r>
            <w:rPr>
              <w:rFonts w:hint="default" w:ascii="Times New Roman" w:hAnsi="Times New Roman" w:cs="Times New Roman"/>
            </w:rPr>
            <w:fldChar w:fldCharType="separate"/>
          </w:r>
          <w:r>
            <w:rPr>
              <w:rFonts w:hint="eastAsia" w:ascii="Times New Roman" w:hAnsi="Times New Roman" w:eastAsia="宋体" w:cs="宋体"/>
            </w:rPr>
            <w:t xml:space="preserve">2.4.1 </w:t>
          </w:r>
          <w:r>
            <w:rPr>
              <w:rFonts w:hint="default" w:ascii="Times New Roman" w:hAnsi="Times New Roman" w:cs="Times New Roman"/>
            </w:rPr>
            <w:t>“三水”统筹，系统治理</w:t>
          </w:r>
          <w:r>
            <w:tab/>
          </w:r>
          <w:r>
            <w:fldChar w:fldCharType="begin"/>
          </w:r>
          <w:r>
            <w:instrText xml:space="preserve"> PAGEREF _Toc17281 \h </w:instrText>
          </w:r>
          <w:r>
            <w:fldChar w:fldCharType="separate"/>
          </w:r>
          <w:r>
            <w:t>- 37 -</w:t>
          </w:r>
          <w:r>
            <w:fldChar w:fldCharType="end"/>
          </w:r>
          <w:r>
            <w:rPr>
              <w:rFonts w:hint="default" w:ascii="Times New Roman" w:hAnsi="Times New Roman" w:cs="Times New Roman"/>
            </w:rPr>
            <w:fldChar w:fldCharType="end"/>
          </w:r>
        </w:p>
        <w:p w14:paraId="11DA8C1F">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_Toc23012 </w:instrText>
          </w:r>
          <w:r>
            <w:rPr>
              <w:rFonts w:hint="default" w:ascii="Times New Roman" w:hAnsi="Times New Roman" w:cs="Times New Roman"/>
            </w:rPr>
            <w:fldChar w:fldCharType="separate"/>
          </w:r>
          <w:r>
            <w:rPr>
              <w:rFonts w:hint="eastAsia" w:ascii="Times New Roman" w:hAnsi="Times New Roman" w:eastAsia="宋体" w:cs="宋体"/>
            </w:rPr>
            <w:t xml:space="preserve">2.4.2 </w:t>
          </w:r>
          <w:r>
            <w:rPr>
              <w:rFonts w:hint="default" w:ascii="Times New Roman" w:hAnsi="Times New Roman" w:cs="Times New Roman"/>
            </w:rPr>
            <w:t>突出重点，有限目标</w:t>
          </w:r>
          <w:r>
            <w:tab/>
          </w:r>
          <w:r>
            <w:fldChar w:fldCharType="begin"/>
          </w:r>
          <w:r>
            <w:instrText xml:space="preserve"> PAGEREF _Toc23012 \h </w:instrText>
          </w:r>
          <w:r>
            <w:fldChar w:fldCharType="separate"/>
          </w:r>
          <w:r>
            <w:t>- 37 -</w:t>
          </w:r>
          <w:r>
            <w:fldChar w:fldCharType="end"/>
          </w:r>
          <w:r>
            <w:rPr>
              <w:rFonts w:hint="default" w:ascii="Times New Roman" w:hAnsi="Times New Roman" w:cs="Times New Roman"/>
            </w:rPr>
            <w:fldChar w:fldCharType="end"/>
          </w:r>
        </w:p>
        <w:p w14:paraId="59E9C383">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_Toc9960 </w:instrText>
          </w:r>
          <w:r>
            <w:rPr>
              <w:rFonts w:hint="default" w:ascii="Times New Roman" w:hAnsi="Times New Roman" w:cs="Times New Roman"/>
            </w:rPr>
            <w:fldChar w:fldCharType="separate"/>
          </w:r>
          <w:r>
            <w:rPr>
              <w:rFonts w:hint="eastAsia" w:ascii="Times New Roman" w:hAnsi="Times New Roman" w:eastAsia="宋体" w:cs="宋体"/>
            </w:rPr>
            <w:t xml:space="preserve">2.4.3 </w:t>
          </w:r>
          <w:r>
            <w:rPr>
              <w:rFonts w:hint="default" w:ascii="Times New Roman" w:hAnsi="Times New Roman" w:cs="Times New Roman"/>
            </w:rPr>
            <w:t>实事求是，因地制宜</w:t>
          </w:r>
          <w:r>
            <w:tab/>
          </w:r>
          <w:r>
            <w:fldChar w:fldCharType="begin"/>
          </w:r>
          <w:r>
            <w:instrText xml:space="preserve"> PAGEREF _Toc9960 \h </w:instrText>
          </w:r>
          <w:r>
            <w:fldChar w:fldCharType="separate"/>
          </w:r>
          <w:r>
            <w:t>- 37 -</w:t>
          </w:r>
          <w:r>
            <w:fldChar w:fldCharType="end"/>
          </w:r>
          <w:r>
            <w:rPr>
              <w:rFonts w:hint="default" w:ascii="Times New Roman" w:hAnsi="Times New Roman" w:cs="Times New Roman"/>
            </w:rPr>
            <w:fldChar w:fldCharType="end"/>
          </w:r>
        </w:p>
        <w:p w14:paraId="111A44CE">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_Toc28289 </w:instrText>
          </w:r>
          <w:r>
            <w:rPr>
              <w:rFonts w:hint="default" w:ascii="Times New Roman" w:hAnsi="Times New Roman" w:cs="Times New Roman"/>
            </w:rPr>
            <w:fldChar w:fldCharType="separate"/>
          </w:r>
          <w:r>
            <w:rPr>
              <w:rFonts w:hint="eastAsia" w:ascii="Times New Roman" w:hAnsi="Times New Roman" w:eastAsia="宋体" w:cs="宋体"/>
            </w:rPr>
            <w:t xml:space="preserve">2.4.4 </w:t>
          </w:r>
          <w:r>
            <w:rPr>
              <w:rFonts w:hint="default" w:ascii="Times New Roman" w:hAnsi="Times New Roman" w:cs="Times New Roman"/>
            </w:rPr>
            <w:t>上下联动，形成合力</w:t>
          </w:r>
          <w:r>
            <w:tab/>
          </w:r>
          <w:r>
            <w:fldChar w:fldCharType="begin"/>
          </w:r>
          <w:r>
            <w:instrText xml:space="preserve"> PAGEREF _Toc28289 \h </w:instrText>
          </w:r>
          <w:r>
            <w:fldChar w:fldCharType="separate"/>
          </w:r>
          <w:r>
            <w:t>- 37 -</w:t>
          </w:r>
          <w:r>
            <w:fldChar w:fldCharType="end"/>
          </w:r>
          <w:r>
            <w:rPr>
              <w:rFonts w:hint="default" w:ascii="Times New Roman" w:hAnsi="Times New Roman" w:cs="Times New Roman"/>
            </w:rPr>
            <w:fldChar w:fldCharType="end"/>
          </w:r>
        </w:p>
        <w:p w14:paraId="4AAB4FD2">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_Toc11829 </w:instrText>
          </w:r>
          <w:r>
            <w:rPr>
              <w:rFonts w:hint="default" w:ascii="Times New Roman" w:hAnsi="Times New Roman" w:cs="Times New Roman"/>
            </w:rPr>
            <w:fldChar w:fldCharType="separate"/>
          </w:r>
          <w:r>
            <w:rPr>
              <w:rFonts w:hint="eastAsia" w:ascii="Times New Roman" w:hAnsi="Times New Roman" w:eastAsia="宋体" w:cs="宋体"/>
            </w:rPr>
            <w:t xml:space="preserve">2.5 </w:t>
          </w:r>
          <w:r>
            <w:rPr>
              <w:rFonts w:hint="default" w:ascii="Times New Roman" w:hAnsi="Times New Roman" w:cs="Times New Roman"/>
            </w:rPr>
            <w:t>技术路线</w:t>
          </w:r>
          <w:r>
            <w:tab/>
          </w:r>
          <w:r>
            <w:fldChar w:fldCharType="begin"/>
          </w:r>
          <w:r>
            <w:instrText xml:space="preserve"> PAGEREF _Toc11829 \h </w:instrText>
          </w:r>
          <w:r>
            <w:fldChar w:fldCharType="separate"/>
          </w:r>
          <w:r>
            <w:t>- 37 -</w:t>
          </w:r>
          <w:r>
            <w:fldChar w:fldCharType="end"/>
          </w:r>
          <w:r>
            <w:rPr>
              <w:rFonts w:hint="default" w:ascii="Times New Roman" w:hAnsi="Times New Roman" w:cs="Times New Roman"/>
            </w:rPr>
            <w:fldChar w:fldCharType="end"/>
          </w:r>
        </w:p>
        <w:p w14:paraId="11CCC5F4">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_Toc1102 </w:instrText>
          </w:r>
          <w:r>
            <w:rPr>
              <w:rFonts w:hint="default" w:ascii="Times New Roman" w:hAnsi="Times New Roman" w:cs="Times New Roman"/>
            </w:rPr>
            <w:fldChar w:fldCharType="separate"/>
          </w:r>
          <w:r>
            <w:rPr>
              <w:rFonts w:hint="eastAsia" w:ascii="Times New Roman" w:hAnsi="Times New Roman" w:eastAsia="宋体" w:cs="宋体"/>
            </w:rPr>
            <w:t xml:space="preserve">2.6 </w:t>
          </w:r>
          <w:r>
            <w:rPr>
              <w:rFonts w:hint="eastAsia"/>
              <w:lang w:val="en-US" w:eastAsia="zh-CN"/>
            </w:rPr>
            <w:t>规划目标</w:t>
          </w:r>
          <w:r>
            <w:tab/>
          </w:r>
          <w:r>
            <w:fldChar w:fldCharType="begin"/>
          </w:r>
          <w:r>
            <w:instrText xml:space="preserve"> PAGEREF _Toc1102 \h </w:instrText>
          </w:r>
          <w:r>
            <w:fldChar w:fldCharType="separate"/>
          </w:r>
          <w:r>
            <w:t>- 38 -</w:t>
          </w:r>
          <w:r>
            <w:fldChar w:fldCharType="end"/>
          </w:r>
          <w:r>
            <w:rPr>
              <w:rFonts w:hint="default" w:ascii="Times New Roman" w:hAnsi="Times New Roman" w:cs="Times New Roman"/>
            </w:rPr>
            <w:fldChar w:fldCharType="end"/>
          </w:r>
        </w:p>
        <w:p w14:paraId="55E5D0AC">
          <w:pPr>
            <w:pStyle w:val="10"/>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_Toc22395 </w:instrText>
          </w:r>
          <w:r>
            <w:rPr>
              <w:rFonts w:hint="default" w:ascii="Times New Roman" w:hAnsi="Times New Roman" w:cs="Times New Roman"/>
            </w:rPr>
            <w:fldChar w:fldCharType="separate"/>
          </w:r>
          <w:r>
            <w:rPr>
              <w:rFonts w:hint="eastAsia" w:ascii="Times New Roman" w:hAnsi="Times New Roman" w:eastAsia="宋体" w:cs="宋体"/>
            </w:rPr>
            <w:t xml:space="preserve">第三章 </w:t>
          </w:r>
          <w:r>
            <w:rPr>
              <w:rFonts w:hint="default"/>
            </w:rPr>
            <w:t>规划任务</w:t>
          </w:r>
          <w:r>
            <w:tab/>
          </w:r>
          <w:r>
            <w:fldChar w:fldCharType="begin"/>
          </w:r>
          <w:r>
            <w:instrText xml:space="preserve"> PAGEREF _Toc22395 \h </w:instrText>
          </w:r>
          <w:r>
            <w:fldChar w:fldCharType="separate"/>
          </w:r>
          <w:r>
            <w:t>- 40 -</w:t>
          </w:r>
          <w:r>
            <w:fldChar w:fldCharType="end"/>
          </w:r>
          <w:r>
            <w:rPr>
              <w:rFonts w:hint="default" w:ascii="Times New Roman" w:hAnsi="Times New Roman" w:cs="Times New Roman"/>
            </w:rPr>
            <w:fldChar w:fldCharType="end"/>
          </w:r>
        </w:p>
        <w:p w14:paraId="66A8473E">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_Toc28106 </w:instrText>
          </w:r>
          <w:r>
            <w:rPr>
              <w:rFonts w:hint="default" w:ascii="Times New Roman" w:hAnsi="Times New Roman" w:cs="Times New Roman"/>
            </w:rPr>
            <w:fldChar w:fldCharType="separate"/>
          </w:r>
          <w:r>
            <w:rPr>
              <w:rFonts w:hint="eastAsia" w:ascii="Times New Roman" w:hAnsi="Times New Roman" w:eastAsia="宋体" w:cs="宋体"/>
            </w:rPr>
            <w:t xml:space="preserve">3.1 </w:t>
          </w:r>
          <w:r>
            <w:rPr>
              <w:rFonts w:hint="default"/>
            </w:rPr>
            <w:t>江源（浑）/大阳岔断面汇水范围</w:t>
          </w:r>
          <w:r>
            <w:tab/>
          </w:r>
          <w:r>
            <w:fldChar w:fldCharType="begin"/>
          </w:r>
          <w:r>
            <w:instrText xml:space="preserve"> PAGEREF _Toc28106 \h </w:instrText>
          </w:r>
          <w:r>
            <w:fldChar w:fldCharType="separate"/>
          </w:r>
          <w:r>
            <w:t>- 40 -</w:t>
          </w:r>
          <w:r>
            <w:fldChar w:fldCharType="end"/>
          </w:r>
          <w:r>
            <w:rPr>
              <w:rFonts w:hint="default" w:ascii="Times New Roman" w:hAnsi="Times New Roman" w:cs="Times New Roman"/>
            </w:rPr>
            <w:fldChar w:fldCharType="end"/>
          </w:r>
        </w:p>
        <w:p w14:paraId="67F6F35F">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_Toc8012 </w:instrText>
          </w:r>
          <w:r>
            <w:rPr>
              <w:rFonts w:hint="default" w:ascii="Times New Roman" w:hAnsi="Times New Roman" w:cs="Times New Roman"/>
            </w:rPr>
            <w:fldChar w:fldCharType="separate"/>
          </w:r>
          <w:r>
            <w:rPr>
              <w:rFonts w:hint="eastAsia" w:ascii="Times New Roman" w:hAnsi="Times New Roman" w:eastAsia="宋体" w:cs="宋体"/>
            </w:rPr>
            <w:t xml:space="preserve">3.1.1 </w:t>
          </w:r>
          <w:r>
            <w:rPr>
              <w:rFonts w:hint="default"/>
            </w:rPr>
            <w:t>提升城镇生活污水处理能力，部分管网进行改建</w:t>
          </w:r>
          <w:r>
            <w:tab/>
          </w:r>
          <w:r>
            <w:fldChar w:fldCharType="begin"/>
          </w:r>
          <w:r>
            <w:instrText xml:space="preserve"> PAGEREF _Toc8012 \h </w:instrText>
          </w:r>
          <w:r>
            <w:fldChar w:fldCharType="separate"/>
          </w:r>
          <w:r>
            <w:t>- 40 -</w:t>
          </w:r>
          <w:r>
            <w:fldChar w:fldCharType="end"/>
          </w:r>
          <w:r>
            <w:rPr>
              <w:rFonts w:hint="default" w:ascii="Times New Roman" w:hAnsi="Times New Roman" w:cs="Times New Roman"/>
            </w:rPr>
            <w:fldChar w:fldCharType="end"/>
          </w:r>
        </w:p>
        <w:p w14:paraId="11F79AD4">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_Toc15974 </w:instrText>
          </w:r>
          <w:r>
            <w:rPr>
              <w:rFonts w:hint="default" w:ascii="Times New Roman" w:hAnsi="Times New Roman" w:cs="Times New Roman"/>
            </w:rPr>
            <w:fldChar w:fldCharType="separate"/>
          </w:r>
          <w:r>
            <w:rPr>
              <w:rFonts w:hint="eastAsia" w:ascii="Times New Roman" w:hAnsi="Times New Roman" w:eastAsia="宋体" w:cs="宋体"/>
            </w:rPr>
            <w:t xml:space="preserve">3.1.2 </w:t>
          </w:r>
          <w:r>
            <w:rPr>
              <w:rFonts w:hint="default"/>
            </w:rPr>
            <w:t>开展城区河岸亲水工程建设</w:t>
          </w:r>
          <w:r>
            <w:tab/>
          </w:r>
          <w:r>
            <w:fldChar w:fldCharType="begin"/>
          </w:r>
          <w:r>
            <w:instrText xml:space="preserve"> PAGEREF _Toc15974 \h </w:instrText>
          </w:r>
          <w:r>
            <w:fldChar w:fldCharType="separate"/>
          </w:r>
          <w:r>
            <w:t>- 40 -</w:t>
          </w:r>
          <w:r>
            <w:fldChar w:fldCharType="end"/>
          </w:r>
          <w:r>
            <w:rPr>
              <w:rFonts w:hint="default" w:ascii="Times New Roman" w:hAnsi="Times New Roman" w:cs="Times New Roman"/>
            </w:rPr>
            <w:fldChar w:fldCharType="end"/>
          </w:r>
        </w:p>
        <w:p w14:paraId="6B3C7264">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_Toc21348 </w:instrText>
          </w:r>
          <w:r>
            <w:rPr>
              <w:rFonts w:hint="default" w:ascii="Times New Roman" w:hAnsi="Times New Roman" w:cs="Times New Roman"/>
            </w:rPr>
            <w:fldChar w:fldCharType="separate"/>
          </w:r>
          <w:r>
            <w:rPr>
              <w:rFonts w:hint="eastAsia" w:ascii="Times New Roman" w:hAnsi="Times New Roman" w:eastAsia="宋体" w:cs="宋体"/>
            </w:rPr>
            <w:t xml:space="preserve">3.1.3 </w:t>
          </w:r>
          <w:r>
            <w:rPr>
              <w:rFonts w:hint="default"/>
            </w:rPr>
            <w:t>开展城区河岸亲水工程建设</w:t>
          </w:r>
          <w:r>
            <w:tab/>
          </w:r>
          <w:r>
            <w:fldChar w:fldCharType="begin"/>
          </w:r>
          <w:r>
            <w:instrText xml:space="preserve"> PAGEREF _Toc21348 \h </w:instrText>
          </w:r>
          <w:r>
            <w:fldChar w:fldCharType="separate"/>
          </w:r>
          <w:r>
            <w:t>- 40 -</w:t>
          </w:r>
          <w:r>
            <w:fldChar w:fldCharType="end"/>
          </w:r>
          <w:r>
            <w:rPr>
              <w:rFonts w:hint="default" w:ascii="Times New Roman" w:hAnsi="Times New Roman" w:cs="Times New Roman"/>
            </w:rPr>
            <w:fldChar w:fldCharType="end"/>
          </w:r>
        </w:p>
        <w:p w14:paraId="77C23F58">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_Toc22010 </w:instrText>
          </w:r>
          <w:r>
            <w:rPr>
              <w:rFonts w:hint="default" w:ascii="Times New Roman" w:hAnsi="Times New Roman" w:cs="Times New Roman"/>
            </w:rPr>
            <w:fldChar w:fldCharType="separate"/>
          </w:r>
          <w:r>
            <w:rPr>
              <w:rFonts w:hint="eastAsia" w:ascii="Times New Roman" w:hAnsi="Times New Roman" w:eastAsia="宋体" w:cs="宋体"/>
            </w:rPr>
            <w:t xml:space="preserve">3.2 </w:t>
          </w:r>
          <w:r>
            <w:rPr>
              <w:rFonts w:hint="default"/>
            </w:rPr>
            <w:t>西村断面汇水范围</w:t>
          </w:r>
          <w:r>
            <w:tab/>
          </w:r>
          <w:r>
            <w:fldChar w:fldCharType="begin"/>
          </w:r>
          <w:r>
            <w:instrText xml:space="preserve"> PAGEREF _Toc22010 \h </w:instrText>
          </w:r>
          <w:r>
            <w:fldChar w:fldCharType="separate"/>
          </w:r>
          <w:r>
            <w:t>- 40 -</w:t>
          </w:r>
          <w:r>
            <w:fldChar w:fldCharType="end"/>
          </w:r>
          <w:r>
            <w:rPr>
              <w:rFonts w:hint="default" w:ascii="Times New Roman" w:hAnsi="Times New Roman" w:cs="Times New Roman"/>
            </w:rPr>
            <w:fldChar w:fldCharType="end"/>
          </w:r>
        </w:p>
        <w:p w14:paraId="4CD4F152">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_Toc62 </w:instrText>
          </w:r>
          <w:r>
            <w:rPr>
              <w:rFonts w:hint="default" w:ascii="Times New Roman" w:hAnsi="Times New Roman" w:cs="Times New Roman"/>
            </w:rPr>
            <w:fldChar w:fldCharType="separate"/>
          </w:r>
          <w:r>
            <w:rPr>
              <w:rFonts w:hint="eastAsia" w:ascii="Times New Roman" w:hAnsi="Times New Roman" w:eastAsia="宋体" w:cs="宋体"/>
            </w:rPr>
            <w:t xml:space="preserve">3.2.1 </w:t>
          </w:r>
          <w:r>
            <w:rPr>
              <w:rFonts w:hint="default"/>
            </w:rPr>
            <w:t>上游控水、保土，减少面源污染</w:t>
          </w:r>
          <w:r>
            <w:tab/>
          </w:r>
          <w:r>
            <w:fldChar w:fldCharType="begin"/>
          </w:r>
          <w:r>
            <w:instrText xml:space="preserve"> PAGEREF _Toc62 \h </w:instrText>
          </w:r>
          <w:r>
            <w:fldChar w:fldCharType="separate"/>
          </w:r>
          <w:r>
            <w:t>- 40 -</w:t>
          </w:r>
          <w:r>
            <w:fldChar w:fldCharType="end"/>
          </w:r>
          <w:r>
            <w:rPr>
              <w:rFonts w:hint="default" w:ascii="Times New Roman" w:hAnsi="Times New Roman" w:cs="Times New Roman"/>
            </w:rPr>
            <w:fldChar w:fldCharType="end"/>
          </w:r>
        </w:p>
        <w:p w14:paraId="1CA04473">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_Toc18254 </w:instrText>
          </w:r>
          <w:r>
            <w:rPr>
              <w:rFonts w:hint="default" w:ascii="Times New Roman" w:hAnsi="Times New Roman" w:cs="Times New Roman"/>
            </w:rPr>
            <w:fldChar w:fldCharType="separate"/>
          </w:r>
          <w:r>
            <w:rPr>
              <w:rFonts w:hint="eastAsia" w:ascii="Times New Roman" w:hAnsi="Times New Roman" w:eastAsia="宋体" w:cs="宋体"/>
            </w:rPr>
            <w:t xml:space="preserve">3.2.2 </w:t>
          </w:r>
          <w:r>
            <w:rPr>
              <w:rFonts w:hint="default"/>
            </w:rPr>
            <w:t>中游加强饮用水及尾矿库风险管控</w:t>
          </w:r>
          <w:r>
            <w:tab/>
          </w:r>
          <w:r>
            <w:fldChar w:fldCharType="begin"/>
          </w:r>
          <w:r>
            <w:instrText xml:space="preserve"> PAGEREF _Toc18254 \h </w:instrText>
          </w:r>
          <w:r>
            <w:fldChar w:fldCharType="separate"/>
          </w:r>
          <w:r>
            <w:t>- 41 -</w:t>
          </w:r>
          <w:r>
            <w:fldChar w:fldCharType="end"/>
          </w:r>
          <w:r>
            <w:rPr>
              <w:rFonts w:hint="default" w:ascii="Times New Roman" w:hAnsi="Times New Roman" w:cs="Times New Roman"/>
            </w:rPr>
            <w:fldChar w:fldCharType="end"/>
          </w:r>
        </w:p>
        <w:p w14:paraId="4DCFC668">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_Toc19638 </w:instrText>
          </w:r>
          <w:r>
            <w:rPr>
              <w:rFonts w:hint="default" w:ascii="Times New Roman" w:hAnsi="Times New Roman" w:cs="Times New Roman"/>
            </w:rPr>
            <w:fldChar w:fldCharType="separate"/>
          </w:r>
          <w:r>
            <w:rPr>
              <w:rFonts w:hint="eastAsia" w:ascii="Times New Roman" w:hAnsi="Times New Roman" w:eastAsia="宋体" w:cs="宋体"/>
            </w:rPr>
            <w:t xml:space="preserve">3.2.3 </w:t>
          </w:r>
          <w:r>
            <w:rPr>
              <w:rFonts w:hint="default"/>
            </w:rPr>
            <w:t>下游降低水耗、提升水治理能力</w:t>
          </w:r>
          <w:r>
            <w:tab/>
          </w:r>
          <w:r>
            <w:fldChar w:fldCharType="begin"/>
          </w:r>
          <w:r>
            <w:instrText xml:space="preserve"> PAGEREF _Toc19638 \h </w:instrText>
          </w:r>
          <w:r>
            <w:fldChar w:fldCharType="separate"/>
          </w:r>
          <w:r>
            <w:t>- 41 -</w:t>
          </w:r>
          <w:r>
            <w:fldChar w:fldCharType="end"/>
          </w:r>
          <w:r>
            <w:rPr>
              <w:rFonts w:hint="default" w:ascii="Times New Roman" w:hAnsi="Times New Roman" w:cs="Times New Roman"/>
            </w:rPr>
            <w:fldChar w:fldCharType="end"/>
          </w:r>
        </w:p>
        <w:p w14:paraId="74A4BECB">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_Toc26663 </w:instrText>
          </w:r>
          <w:r>
            <w:rPr>
              <w:rFonts w:hint="default" w:ascii="Times New Roman" w:hAnsi="Times New Roman" w:cs="Times New Roman"/>
            </w:rPr>
            <w:fldChar w:fldCharType="separate"/>
          </w:r>
          <w:r>
            <w:rPr>
              <w:rFonts w:hint="eastAsia" w:ascii="Times New Roman" w:hAnsi="Times New Roman" w:eastAsia="宋体" w:cs="宋体"/>
            </w:rPr>
            <w:t xml:space="preserve">3.3 </w:t>
          </w:r>
          <w:r>
            <w:rPr>
              <w:rFonts w:hint="default"/>
            </w:rPr>
            <w:t>参乡一号桥汇水范围</w:t>
          </w:r>
          <w:r>
            <w:tab/>
          </w:r>
          <w:r>
            <w:fldChar w:fldCharType="begin"/>
          </w:r>
          <w:r>
            <w:instrText xml:space="preserve"> PAGEREF _Toc26663 \h </w:instrText>
          </w:r>
          <w:r>
            <w:fldChar w:fldCharType="separate"/>
          </w:r>
          <w:r>
            <w:t>- 43 -</w:t>
          </w:r>
          <w:r>
            <w:fldChar w:fldCharType="end"/>
          </w:r>
          <w:r>
            <w:rPr>
              <w:rFonts w:hint="default" w:ascii="Times New Roman" w:hAnsi="Times New Roman" w:cs="Times New Roman"/>
            </w:rPr>
            <w:fldChar w:fldCharType="end"/>
          </w:r>
        </w:p>
        <w:p w14:paraId="22D98185">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_Toc8333 </w:instrText>
          </w:r>
          <w:r>
            <w:rPr>
              <w:rFonts w:hint="default" w:ascii="Times New Roman" w:hAnsi="Times New Roman" w:cs="Times New Roman"/>
            </w:rPr>
            <w:fldChar w:fldCharType="separate"/>
          </w:r>
          <w:r>
            <w:rPr>
              <w:rFonts w:hint="eastAsia" w:ascii="Times New Roman" w:hAnsi="Times New Roman" w:eastAsia="宋体" w:cs="宋体"/>
            </w:rPr>
            <w:t xml:space="preserve">3.3.1 </w:t>
          </w:r>
          <w:r>
            <w:rPr>
              <w:rFonts w:hint="default"/>
            </w:rPr>
            <w:t>污染减排</w:t>
          </w:r>
          <w:r>
            <w:tab/>
          </w:r>
          <w:r>
            <w:fldChar w:fldCharType="begin"/>
          </w:r>
          <w:r>
            <w:instrText xml:space="preserve"> PAGEREF _Toc8333 \h </w:instrText>
          </w:r>
          <w:r>
            <w:fldChar w:fldCharType="separate"/>
          </w:r>
          <w:r>
            <w:t>- 43 -</w:t>
          </w:r>
          <w:r>
            <w:fldChar w:fldCharType="end"/>
          </w:r>
          <w:r>
            <w:rPr>
              <w:rFonts w:hint="default" w:ascii="Times New Roman" w:hAnsi="Times New Roman" w:cs="Times New Roman"/>
            </w:rPr>
            <w:fldChar w:fldCharType="end"/>
          </w:r>
        </w:p>
        <w:p w14:paraId="0FC8932D">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_Toc28192 </w:instrText>
          </w:r>
          <w:r>
            <w:rPr>
              <w:rFonts w:hint="default" w:ascii="Times New Roman" w:hAnsi="Times New Roman" w:cs="Times New Roman"/>
            </w:rPr>
            <w:fldChar w:fldCharType="separate"/>
          </w:r>
          <w:r>
            <w:rPr>
              <w:rFonts w:hint="eastAsia" w:ascii="Times New Roman" w:hAnsi="Times New Roman" w:eastAsia="宋体" w:cs="宋体"/>
            </w:rPr>
            <w:t xml:space="preserve">3.3.2 </w:t>
          </w:r>
          <w:r>
            <w:rPr>
              <w:rFonts w:hint="default"/>
            </w:rPr>
            <w:t>水资源保障</w:t>
          </w:r>
          <w:r>
            <w:tab/>
          </w:r>
          <w:r>
            <w:fldChar w:fldCharType="begin"/>
          </w:r>
          <w:r>
            <w:instrText xml:space="preserve"> PAGEREF _Toc28192 \h </w:instrText>
          </w:r>
          <w:r>
            <w:fldChar w:fldCharType="separate"/>
          </w:r>
          <w:r>
            <w:t>- 44 -</w:t>
          </w:r>
          <w:r>
            <w:fldChar w:fldCharType="end"/>
          </w:r>
          <w:r>
            <w:rPr>
              <w:rFonts w:hint="default" w:ascii="Times New Roman" w:hAnsi="Times New Roman" w:cs="Times New Roman"/>
            </w:rPr>
            <w:fldChar w:fldCharType="end"/>
          </w:r>
        </w:p>
        <w:p w14:paraId="44084563">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_Toc7239 </w:instrText>
          </w:r>
          <w:r>
            <w:rPr>
              <w:rFonts w:hint="default" w:ascii="Times New Roman" w:hAnsi="Times New Roman" w:cs="Times New Roman"/>
            </w:rPr>
            <w:fldChar w:fldCharType="separate"/>
          </w:r>
          <w:r>
            <w:rPr>
              <w:rFonts w:hint="eastAsia" w:ascii="Times New Roman" w:hAnsi="Times New Roman" w:eastAsia="宋体" w:cs="宋体"/>
            </w:rPr>
            <w:t xml:space="preserve">3.3.3 </w:t>
          </w:r>
          <w:r>
            <w:rPr>
              <w:rFonts w:hint="default"/>
            </w:rPr>
            <w:t>水生态保护修复</w:t>
          </w:r>
          <w:r>
            <w:tab/>
          </w:r>
          <w:r>
            <w:fldChar w:fldCharType="begin"/>
          </w:r>
          <w:r>
            <w:instrText xml:space="preserve"> PAGEREF _Toc7239 \h </w:instrText>
          </w:r>
          <w:r>
            <w:fldChar w:fldCharType="separate"/>
          </w:r>
          <w:r>
            <w:t>- 44 -</w:t>
          </w:r>
          <w:r>
            <w:fldChar w:fldCharType="end"/>
          </w:r>
          <w:r>
            <w:rPr>
              <w:rFonts w:hint="default" w:ascii="Times New Roman" w:hAnsi="Times New Roman" w:cs="Times New Roman"/>
            </w:rPr>
            <w:fldChar w:fldCharType="end"/>
          </w:r>
        </w:p>
        <w:p w14:paraId="1EC8D952">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_Toc7070 </w:instrText>
          </w:r>
          <w:r>
            <w:rPr>
              <w:rFonts w:hint="default" w:ascii="Times New Roman" w:hAnsi="Times New Roman" w:cs="Times New Roman"/>
            </w:rPr>
            <w:fldChar w:fldCharType="separate"/>
          </w:r>
          <w:r>
            <w:rPr>
              <w:rFonts w:hint="eastAsia" w:ascii="Times New Roman" w:hAnsi="Times New Roman" w:eastAsia="宋体" w:cs="宋体"/>
            </w:rPr>
            <w:t xml:space="preserve">3.3.4 </w:t>
          </w:r>
          <w:r>
            <w:rPr>
              <w:rFonts w:hint="default"/>
            </w:rPr>
            <w:t>水环境风险防控</w:t>
          </w:r>
          <w:r>
            <w:tab/>
          </w:r>
          <w:r>
            <w:fldChar w:fldCharType="begin"/>
          </w:r>
          <w:r>
            <w:instrText xml:space="preserve"> PAGEREF _Toc7070 \h </w:instrText>
          </w:r>
          <w:r>
            <w:fldChar w:fldCharType="separate"/>
          </w:r>
          <w:r>
            <w:t>- 44 -</w:t>
          </w:r>
          <w:r>
            <w:fldChar w:fldCharType="end"/>
          </w:r>
          <w:r>
            <w:rPr>
              <w:rFonts w:hint="default" w:ascii="Times New Roman" w:hAnsi="Times New Roman" w:cs="Times New Roman"/>
            </w:rPr>
            <w:fldChar w:fldCharType="end"/>
          </w:r>
        </w:p>
        <w:p w14:paraId="561DDB8F">
          <w:pPr>
            <w:pStyle w:val="10"/>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_Toc21728 </w:instrText>
          </w:r>
          <w:r>
            <w:rPr>
              <w:rFonts w:hint="default" w:ascii="Times New Roman" w:hAnsi="Times New Roman" w:cs="Times New Roman"/>
            </w:rPr>
            <w:fldChar w:fldCharType="separate"/>
          </w:r>
          <w:r>
            <w:rPr>
              <w:rFonts w:hint="eastAsia" w:ascii="Times New Roman" w:hAnsi="Times New Roman" w:eastAsia="宋体" w:cs="宋体"/>
            </w:rPr>
            <w:t xml:space="preserve">第四章 </w:t>
          </w:r>
          <w:r>
            <w:rPr>
              <w:rFonts w:hint="default"/>
            </w:rPr>
            <w:t>规划重点项目</w:t>
          </w:r>
          <w:r>
            <w:tab/>
          </w:r>
          <w:r>
            <w:fldChar w:fldCharType="begin"/>
          </w:r>
          <w:r>
            <w:instrText xml:space="preserve"> PAGEREF _Toc21728 \h </w:instrText>
          </w:r>
          <w:r>
            <w:fldChar w:fldCharType="separate"/>
          </w:r>
          <w:r>
            <w:t>- 47 -</w:t>
          </w:r>
          <w:r>
            <w:fldChar w:fldCharType="end"/>
          </w:r>
          <w:r>
            <w:rPr>
              <w:rFonts w:hint="default" w:ascii="Times New Roman" w:hAnsi="Times New Roman" w:cs="Times New Roman"/>
            </w:rPr>
            <w:fldChar w:fldCharType="end"/>
          </w:r>
        </w:p>
        <w:p w14:paraId="7B425F79">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_Toc17716 </w:instrText>
          </w:r>
          <w:r>
            <w:rPr>
              <w:rFonts w:hint="default" w:ascii="Times New Roman" w:hAnsi="Times New Roman" w:cs="Times New Roman"/>
            </w:rPr>
            <w:fldChar w:fldCharType="separate"/>
          </w:r>
          <w:r>
            <w:rPr>
              <w:rFonts w:hint="eastAsia" w:ascii="Times New Roman" w:hAnsi="Times New Roman" w:eastAsia="宋体" w:cs="宋体"/>
            </w:rPr>
            <w:t xml:space="preserve">4.1 </w:t>
          </w:r>
          <w:r>
            <w:rPr>
              <w:rFonts w:hint="default"/>
            </w:rPr>
            <w:t>江源（浑）/大阳岔断面汇水范围</w:t>
          </w:r>
          <w:r>
            <w:tab/>
          </w:r>
          <w:r>
            <w:fldChar w:fldCharType="begin"/>
          </w:r>
          <w:r>
            <w:instrText xml:space="preserve"> PAGEREF _Toc17716 \h </w:instrText>
          </w:r>
          <w:r>
            <w:fldChar w:fldCharType="separate"/>
          </w:r>
          <w:r>
            <w:t>- 48 -</w:t>
          </w:r>
          <w:r>
            <w:fldChar w:fldCharType="end"/>
          </w:r>
          <w:r>
            <w:rPr>
              <w:rFonts w:hint="default" w:ascii="Times New Roman" w:hAnsi="Times New Roman" w:cs="Times New Roman"/>
            </w:rPr>
            <w:fldChar w:fldCharType="end"/>
          </w:r>
        </w:p>
        <w:p w14:paraId="1EAC68FE">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_Toc31518 </w:instrText>
          </w:r>
          <w:r>
            <w:rPr>
              <w:rFonts w:hint="default" w:ascii="Times New Roman" w:hAnsi="Times New Roman" w:cs="Times New Roman"/>
            </w:rPr>
            <w:fldChar w:fldCharType="separate"/>
          </w:r>
          <w:r>
            <w:rPr>
              <w:rFonts w:hint="eastAsia" w:ascii="Times New Roman" w:hAnsi="Times New Roman" w:eastAsia="宋体" w:cs="宋体"/>
            </w:rPr>
            <w:t xml:space="preserve">4.2 </w:t>
          </w:r>
          <w:r>
            <w:rPr>
              <w:rFonts w:hint="default"/>
            </w:rPr>
            <w:t>西村断面汇水范围</w:t>
          </w:r>
          <w:r>
            <w:tab/>
          </w:r>
          <w:r>
            <w:fldChar w:fldCharType="begin"/>
          </w:r>
          <w:r>
            <w:instrText xml:space="preserve"> PAGEREF _Toc31518 \h </w:instrText>
          </w:r>
          <w:r>
            <w:fldChar w:fldCharType="separate"/>
          </w:r>
          <w:r>
            <w:t>- 50 -</w:t>
          </w:r>
          <w:r>
            <w:fldChar w:fldCharType="end"/>
          </w:r>
          <w:r>
            <w:rPr>
              <w:rFonts w:hint="default" w:ascii="Times New Roman" w:hAnsi="Times New Roman" w:cs="Times New Roman"/>
            </w:rPr>
            <w:fldChar w:fldCharType="end"/>
          </w:r>
        </w:p>
        <w:p w14:paraId="08B59D32">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_Toc16332 </w:instrText>
          </w:r>
          <w:r>
            <w:rPr>
              <w:rFonts w:hint="default" w:ascii="Times New Roman" w:hAnsi="Times New Roman" w:cs="Times New Roman"/>
            </w:rPr>
            <w:fldChar w:fldCharType="separate"/>
          </w:r>
          <w:r>
            <w:rPr>
              <w:rFonts w:hint="eastAsia" w:ascii="Times New Roman" w:hAnsi="Times New Roman" w:eastAsia="宋体" w:cs="宋体"/>
            </w:rPr>
            <w:t xml:space="preserve">4.3 </w:t>
          </w:r>
          <w:r>
            <w:rPr>
              <w:rFonts w:hint="default"/>
            </w:rPr>
            <w:t>参乡一号桥汇水范围</w:t>
          </w:r>
          <w:r>
            <w:tab/>
          </w:r>
          <w:r>
            <w:fldChar w:fldCharType="begin"/>
          </w:r>
          <w:r>
            <w:instrText xml:space="preserve"> PAGEREF _Toc16332 \h </w:instrText>
          </w:r>
          <w:r>
            <w:fldChar w:fldCharType="separate"/>
          </w:r>
          <w:r>
            <w:t>- 52 -</w:t>
          </w:r>
          <w:r>
            <w:fldChar w:fldCharType="end"/>
          </w:r>
          <w:r>
            <w:rPr>
              <w:rFonts w:hint="default" w:ascii="Times New Roman" w:hAnsi="Times New Roman" w:cs="Times New Roman"/>
            </w:rPr>
            <w:fldChar w:fldCharType="end"/>
          </w:r>
        </w:p>
        <w:p w14:paraId="21E4043C">
          <w:pPr>
            <w:pStyle w:val="10"/>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_Toc12422 </w:instrText>
          </w:r>
          <w:r>
            <w:rPr>
              <w:rFonts w:hint="default" w:ascii="Times New Roman" w:hAnsi="Times New Roman" w:cs="Times New Roman"/>
            </w:rPr>
            <w:fldChar w:fldCharType="separate"/>
          </w:r>
          <w:r>
            <w:rPr>
              <w:rFonts w:hint="eastAsia" w:ascii="Times New Roman" w:hAnsi="Times New Roman" w:eastAsia="宋体" w:cs="宋体"/>
            </w:rPr>
            <w:t xml:space="preserve">第五章 </w:t>
          </w:r>
          <w:r>
            <w:rPr>
              <w:rFonts w:hint="default"/>
            </w:rPr>
            <w:t>政策措施</w:t>
          </w:r>
          <w:r>
            <w:tab/>
          </w:r>
          <w:r>
            <w:fldChar w:fldCharType="begin"/>
          </w:r>
          <w:r>
            <w:instrText xml:space="preserve"> PAGEREF _Toc12422 \h </w:instrText>
          </w:r>
          <w:r>
            <w:fldChar w:fldCharType="separate"/>
          </w:r>
          <w:r>
            <w:t>- 55 -</w:t>
          </w:r>
          <w:r>
            <w:fldChar w:fldCharType="end"/>
          </w:r>
          <w:r>
            <w:rPr>
              <w:rFonts w:hint="default" w:ascii="Times New Roman" w:hAnsi="Times New Roman" w:cs="Times New Roman"/>
            </w:rPr>
            <w:fldChar w:fldCharType="end"/>
          </w:r>
        </w:p>
        <w:p w14:paraId="1B44E91D">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_Toc15252 </w:instrText>
          </w:r>
          <w:r>
            <w:rPr>
              <w:rFonts w:hint="default" w:ascii="Times New Roman" w:hAnsi="Times New Roman" w:cs="Times New Roman"/>
            </w:rPr>
            <w:fldChar w:fldCharType="separate"/>
          </w:r>
          <w:r>
            <w:rPr>
              <w:rFonts w:hint="eastAsia" w:ascii="Times New Roman" w:hAnsi="Times New Roman" w:eastAsia="宋体" w:cs="宋体"/>
            </w:rPr>
            <w:t xml:space="preserve">5.1 </w:t>
          </w:r>
          <w:r>
            <w:rPr>
              <w:rFonts w:hint="default"/>
            </w:rPr>
            <w:t>组织领导</w:t>
          </w:r>
          <w:r>
            <w:tab/>
          </w:r>
          <w:r>
            <w:fldChar w:fldCharType="begin"/>
          </w:r>
          <w:r>
            <w:instrText xml:space="preserve"> PAGEREF _Toc15252 \h </w:instrText>
          </w:r>
          <w:r>
            <w:fldChar w:fldCharType="separate"/>
          </w:r>
          <w:r>
            <w:t>- 55 -</w:t>
          </w:r>
          <w:r>
            <w:fldChar w:fldCharType="end"/>
          </w:r>
          <w:r>
            <w:rPr>
              <w:rFonts w:hint="default" w:ascii="Times New Roman" w:hAnsi="Times New Roman" w:cs="Times New Roman"/>
            </w:rPr>
            <w:fldChar w:fldCharType="end"/>
          </w:r>
        </w:p>
        <w:p w14:paraId="3EA7B117">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_Toc30053 </w:instrText>
          </w:r>
          <w:r>
            <w:rPr>
              <w:rFonts w:hint="default" w:ascii="Times New Roman" w:hAnsi="Times New Roman" w:cs="Times New Roman"/>
            </w:rPr>
            <w:fldChar w:fldCharType="separate"/>
          </w:r>
          <w:r>
            <w:rPr>
              <w:rFonts w:hint="eastAsia" w:ascii="Times New Roman" w:hAnsi="Times New Roman" w:eastAsia="宋体" w:cs="宋体"/>
            </w:rPr>
            <w:t xml:space="preserve">5.2 </w:t>
          </w:r>
          <w:r>
            <w:rPr>
              <w:rFonts w:hint="default"/>
            </w:rPr>
            <w:t>法规标准</w:t>
          </w:r>
          <w:r>
            <w:tab/>
          </w:r>
          <w:r>
            <w:fldChar w:fldCharType="begin"/>
          </w:r>
          <w:r>
            <w:instrText xml:space="preserve"> PAGEREF _Toc30053 \h </w:instrText>
          </w:r>
          <w:r>
            <w:fldChar w:fldCharType="separate"/>
          </w:r>
          <w:r>
            <w:t>- 55 -</w:t>
          </w:r>
          <w:r>
            <w:fldChar w:fldCharType="end"/>
          </w:r>
          <w:r>
            <w:rPr>
              <w:rFonts w:hint="default" w:ascii="Times New Roman" w:hAnsi="Times New Roman" w:cs="Times New Roman"/>
            </w:rPr>
            <w:fldChar w:fldCharType="end"/>
          </w:r>
        </w:p>
        <w:p w14:paraId="3FA6EAC3">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_Toc7927 </w:instrText>
          </w:r>
          <w:r>
            <w:rPr>
              <w:rFonts w:hint="default" w:ascii="Times New Roman" w:hAnsi="Times New Roman" w:cs="Times New Roman"/>
            </w:rPr>
            <w:fldChar w:fldCharType="separate"/>
          </w:r>
          <w:r>
            <w:rPr>
              <w:rFonts w:hint="eastAsia" w:ascii="Times New Roman" w:hAnsi="Times New Roman" w:eastAsia="宋体" w:cs="宋体"/>
            </w:rPr>
            <w:t xml:space="preserve">5.3 </w:t>
          </w:r>
          <w:r>
            <w:rPr>
              <w:rFonts w:hint="default"/>
            </w:rPr>
            <w:t>经济政策</w:t>
          </w:r>
          <w:r>
            <w:tab/>
          </w:r>
          <w:r>
            <w:fldChar w:fldCharType="begin"/>
          </w:r>
          <w:r>
            <w:instrText xml:space="preserve"> PAGEREF _Toc7927 \h </w:instrText>
          </w:r>
          <w:r>
            <w:fldChar w:fldCharType="separate"/>
          </w:r>
          <w:r>
            <w:t>- 55 -</w:t>
          </w:r>
          <w:r>
            <w:fldChar w:fldCharType="end"/>
          </w:r>
          <w:r>
            <w:rPr>
              <w:rFonts w:hint="default" w:ascii="Times New Roman" w:hAnsi="Times New Roman" w:cs="Times New Roman"/>
            </w:rPr>
            <w:fldChar w:fldCharType="end"/>
          </w:r>
        </w:p>
        <w:p w14:paraId="646772B6">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_Toc9570 </w:instrText>
          </w:r>
          <w:r>
            <w:rPr>
              <w:rFonts w:hint="default" w:ascii="Times New Roman" w:hAnsi="Times New Roman" w:cs="Times New Roman"/>
            </w:rPr>
            <w:fldChar w:fldCharType="separate"/>
          </w:r>
          <w:r>
            <w:rPr>
              <w:rFonts w:hint="eastAsia" w:ascii="Times New Roman" w:hAnsi="Times New Roman" w:eastAsia="宋体" w:cs="宋体"/>
            </w:rPr>
            <w:t xml:space="preserve">5.4 </w:t>
          </w:r>
          <w:r>
            <w:rPr>
              <w:rFonts w:hint="default"/>
            </w:rPr>
            <w:t>科技支撑</w:t>
          </w:r>
          <w:r>
            <w:tab/>
          </w:r>
          <w:r>
            <w:fldChar w:fldCharType="begin"/>
          </w:r>
          <w:r>
            <w:instrText xml:space="preserve"> PAGEREF _Toc9570 \h </w:instrText>
          </w:r>
          <w:r>
            <w:fldChar w:fldCharType="separate"/>
          </w:r>
          <w:r>
            <w:t>- 56 -</w:t>
          </w:r>
          <w:r>
            <w:fldChar w:fldCharType="end"/>
          </w:r>
          <w:r>
            <w:rPr>
              <w:rFonts w:hint="default" w:ascii="Times New Roman" w:hAnsi="Times New Roman" w:cs="Times New Roman"/>
            </w:rPr>
            <w:fldChar w:fldCharType="end"/>
          </w:r>
        </w:p>
        <w:p w14:paraId="6E8E1D71">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_Toc12329 </w:instrText>
          </w:r>
          <w:r>
            <w:rPr>
              <w:rFonts w:hint="default" w:ascii="Times New Roman" w:hAnsi="Times New Roman" w:cs="Times New Roman"/>
            </w:rPr>
            <w:fldChar w:fldCharType="separate"/>
          </w:r>
          <w:r>
            <w:rPr>
              <w:rFonts w:hint="eastAsia" w:ascii="Times New Roman" w:hAnsi="Times New Roman" w:eastAsia="宋体" w:cs="宋体"/>
            </w:rPr>
            <w:t xml:space="preserve">5.5 </w:t>
          </w:r>
          <w:r>
            <w:rPr>
              <w:rFonts w:hint="default"/>
            </w:rPr>
            <w:t>监督管理</w:t>
          </w:r>
          <w:r>
            <w:tab/>
          </w:r>
          <w:r>
            <w:fldChar w:fldCharType="begin"/>
          </w:r>
          <w:r>
            <w:instrText xml:space="preserve"> PAGEREF _Toc12329 \h </w:instrText>
          </w:r>
          <w:r>
            <w:fldChar w:fldCharType="separate"/>
          </w:r>
          <w:r>
            <w:t>- 56 -</w:t>
          </w:r>
          <w:r>
            <w:fldChar w:fldCharType="end"/>
          </w:r>
          <w:r>
            <w:rPr>
              <w:rFonts w:hint="default" w:ascii="Times New Roman" w:hAnsi="Times New Roman" w:cs="Times New Roman"/>
            </w:rPr>
            <w:fldChar w:fldCharType="end"/>
          </w:r>
        </w:p>
        <w:p w14:paraId="57FF39A7">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_Toc32624 </w:instrText>
          </w:r>
          <w:r>
            <w:rPr>
              <w:rFonts w:hint="default" w:ascii="Times New Roman" w:hAnsi="Times New Roman" w:cs="Times New Roman"/>
            </w:rPr>
            <w:fldChar w:fldCharType="separate"/>
          </w:r>
          <w:r>
            <w:rPr>
              <w:rFonts w:hint="eastAsia" w:ascii="Times New Roman" w:hAnsi="Times New Roman" w:eastAsia="宋体" w:cs="宋体"/>
            </w:rPr>
            <w:t xml:space="preserve">5.6 </w:t>
          </w:r>
          <w:r>
            <w:rPr>
              <w:rFonts w:hint="default"/>
            </w:rPr>
            <w:t>公众参与</w:t>
          </w:r>
          <w:r>
            <w:tab/>
          </w:r>
          <w:r>
            <w:fldChar w:fldCharType="begin"/>
          </w:r>
          <w:r>
            <w:instrText xml:space="preserve"> PAGEREF _Toc32624 \h </w:instrText>
          </w:r>
          <w:r>
            <w:fldChar w:fldCharType="separate"/>
          </w:r>
          <w:r>
            <w:t>- 57 -</w:t>
          </w:r>
          <w:r>
            <w:fldChar w:fldCharType="end"/>
          </w:r>
          <w:r>
            <w:rPr>
              <w:rFonts w:hint="default" w:ascii="Times New Roman" w:hAnsi="Times New Roman" w:cs="Times New Roman"/>
            </w:rPr>
            <w:fldChar w:fldCharType="end"/>
          </w:r>
        </w:p>
        <w:p w14:paraId="6C560CEE">
          <w:pPr>
            <w:pStyle w:val="10"/>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_Toc9654 </w:instrText>
          </w:r>
          <w:r>
            <w:rPr>
              <w:rFonts w:hint="default" w:ascii="Times New Roman" w:hAnsi="Times New Roman" w:cs="Times New Roman"/>
            </w:rPr>
            <w:fldChar w:fldCharType="separate"/>
          </w:r>
          <w:r>
            <w:rPr>
              <w:lang w:val="en-US" w:eastAsia="zh-CN"/>
            </w:rPr>
            <w:t>附表</w:t>
          </w:r>
          <w:r>
            <w:tab/>
          </w:r>
          <w:r>
            <w:fldChar w:fldCharType="begin"/>
          </w:r>
          <w:r>
            <w:instrText xml:space="preserve"> PAGEREF _Toc9654 \h </w:instrText>
          </w:r>
          <w:r>
            <w:fldChar w:fldCharType="separate"/>
          </w:r>
          <w:r>
            <w:t>- 58 -</w:t>
          </w:r>
          <w:r>
            <w:fldChar w:fldCharType="end"/>
          </w:r>
          <w:r>
            <w:rPr>
              <w:rFonts w:hint="default" w:ascii="Times New Roman" w:hAnsi="Times New Roman" w:cs="Times New Roman"/>
            </w:rPr>
            <w:fldChar w:fldCharType="end"/>
          </w:r>
        </w:p>
        <w:p w14:paraId="33731BB6">
          <w:pPr>
            <w:kinsoku/>
            <w:wordWrap/>
            <w:topLinePunct w:val="0"/>
            <w:autoSpaceDE/>
            <w:autoSpaceDN/>
            <w:bidi w:val="0"/>
            <w:adjustRightInd/>
            <w:snapToGrid/>
            <w:textAlignment w:val="auto"/>
            <w:rPr>
              <w:rFonts w:hint="default" w:ascii="Times New Roman" w:hAnsi="Times New Roman" w:cs="Times New Roman"/>
            </w:rPr>
            <w:sectPr>
              <w:pgSz w:w="11906" w:h="16838"/>
              <w:pgMar w:top="1440" w:right="1800" w:bottom="1440" w:left="1800" w:header="851" w:footer="992" w:gutter="0"/>
              <w:pgNumType w:fmt="numberInDash"/>
              <w:cols w:space="0" w:num="1"/>
              <w:rtlGutter w:val="0"/>
              <w:docGrid w:type="lines" w:linePitch="332" w:charSpace="0"/>
            </w:sectPr>
          </w:pPr>
          <w:r>
            <w:rPr>
              <w:rFonts w:hint="default" w:ascii="Times New Roman" w:hAnsi="Times New Roman" w:cs="Times New Roman"/>
            </w:rPr>
            <w:fldChar w:fldCharType="end"/>
          </w:r>
        </w:p>
      </w:sdtContent>
    </w:sdt>
    <w:p w14:paraId="59DD6C90">
      <w:pPr>
        <w:pStyle w:val="2"/>
        <w:bidi w:val="0"/>
        <w:ind w:left="0" w:leftChars="0" w:firstLine="0" w:firstLineChars="0"/>
        <w:rPr>
          <w:rFonts w:hint="eastAsia"/>
          <w:lang w:val="en-US" w:eastAsia="zh-CN"/>
        </w:rPr>
      </w:pPr>
      <w:bookmarkStart w:id="0" w:name="_Toc82172391"/>
      <w:bookmarkStart w:id="1" w:name="_Toc25184"/>
      <w:bookmarkStart w:id="2" w:name="_Toc82172377"/>
      <w:r>
        <w:rPr>
          <w:rFonts w:hint="default"/>
        </w:rPr>
        <w:t>江源区</w:t>
      </w:r>
      <w:bookmarkEnd w:id="0"/>
      <w:r>
        <w:rPr>
          <w:rFonts w:hint="eastAsia"/>
          <w:lang w:val="en-US" w:eastAsia="zh-CN"/>
        </w:rPr>
        <w:t>水生态环境状况</w:t>
      </w:r>
      <w:bookmarkEnd w:id="1"/>
    </w:p>
    <w:p w14:paraId="00AEAAC1">
      <w:pPr>
        <w:pStyle w:val="3"/>
        <w:kinsoku/>
        <w:wordWrap/>
        <w:topLinePunct w:val="0"/>
        <w:autoSpaceDE/>
        <w:autoSpaceDN/>
        <w:bidi w:val="0"/>
        <w:adjustRightInd/>
        <w:snapToGrid/>
        <w:textAlignment w:val="auto"/>
        <w:rPr>
          <w:rFonts w:hint="default" w:ascii="Times New Roman" w:hAnsi="Times New Roman" w:cs="Times New Roman"/>
        </w:rPr>
      </w:pPr>
      <w:bookmarkStart w:id="3" w:name="_Toc17499"/>
      <w:bookmarkStart w:id="4" w:name="_Toc82172392"/>
      <w:r>
        <w:rPr>
          <w:rFonts w:hint="eastAsia" w:cs="Times New Roman"/>
          <w:lang w:val="en-US" w:eastAsia="zh-CN"/>
        </w:rPr>
        <w:t>流域情况</w:t>
      </w:r>
      <w:bookmarkEnd w:id="3"/>
    </w:p>
    <w:bookmarkEnd w:id="4"/>
    <w:p w14:paraId="3A44FB52">
      <w:pPr>
        <w:pStyle w:val="4"/>
        <w:bidi w:val="0"/>
        <w:rPr>
          <w:rFonts w:hint="default"/>
        </w:rPr>
      </w:pPr>
      <w:bookmarkStart w:id="5" w:name="_Toc2410"/>
      <w:r>
        <w:rPr>
          <w:rFonts w:hint="eastAsia"/>
          <w:lang w:val="en-US" w:eastAsia="zh-CN"/>
        </w:rPr>
        <w:t>流域范围</w:t>
      </w:r>
      <w:bookmarkEnd w:id="5"/>
    </w:p>
    <w:p w14:paraId="020F7B30">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白山市江源区地处吉林省的东南部，位于东经126°23′~127°11′、北纬41°48′~42°13′之间，东与抚松县接壤，西与柳河县、八道江区毗邻，南与临江市交界，北与江源区相连。东西相距69km，南北相距44.4km，总面积1348k㎡。</w:t>
      </w:r>
    </w:p>
    <w:p w14:paraId="2F5FA556">
      <w:pPr>
        <w:pStyle w:val="4"/>
        <w:bidi w:val="0"/>
        <w:rPr>
          <w:rFonts w:hint="default"/>
        </w:rPr>
      </w:pPr>
      <w:bookmarkStart w:id="6" w:name="_Toc31721"/>
      <w:bookmarkStart w:id="7" w:name="_Toc82172393"/>
      <w:r>
        <w:rPr>
          <w:rFonts w:hint="eastAsia"/>
          <w:lang w:val="en-US" w:eastAsia="zh-CN"/>
        </w:rPr>
        <w:t>自然概况</w:t>
      </w:r>
      <w:bookmarkEnd w:id="6"/>
    </w:p>
    <w:p w14:paraId="13E0C4D4">
      <w:pPr>
        <w:pStyle w:val="5"/>
        <w:bidi w:val="0"/>
        <w:rPr>
          <w:rFonts w:hint="default"/>
        </w:rPr>
      </w:pPr>
      <w:r>
        <w:rPr>
          <w:rFonts w:hint="default"/>
        </w:rPr>
        <w:t>河流水系</w:t>
      </w:r>
      <w:bookmarkEnd w:id="7"/>
    </w:p>
    <w:p w14:paraId="2A369CC3">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江源区境内有头道松花江、</w:t>
      </w:r>
      <w:r>
        <w:rPr>
          <w:rFonts w:hint="eastAsia" w:cs="Times New Roman"/>
          <w:lang w:val="en-US" w:eastAsia="zh-CN"/>
        </w:rPr>
        <w:t>LYJ</w:t>
      </w:r>
      <w:r>
        <w:rPr>
          <w:rFonts w:hint="default" w:ascii="Times New Roman" w:hAnsi="Times New Roman" w:cs="Times New Roman"/>
        </w:rPr>
        <w:t>两大水系，130余条河流。主要河流有：浑江、西南岔河、西北岔河、正岔河、大阳岔河、汤河、大石棚子河、榆木桥子河、石人河等。</w:t>
      </w:r>
    </w:p>
    <w:p w14:paraId="7BBD590B">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浑江为</w:t>
      </w:r>
      <w:r>
        <w:rPr>
          <w:rFonts w:hint="eastAsia" w:cs="Times New Roman"/>
          <w:lang w:eastAsia="zh-CN"/>
        </w:rPr>
        <w:t>YLJ</w:t>
      </w:r>
      <w:r>
        <w:rPr>
          <w:rFonts w:hint="default" w:ascii="Times New Roman" w:hAnsi="Times New Roman" w:cs="Times New Roman"/>
        </w:rPr>
        <w:t>水系我国一侧最大支流，其干流发源于老爷岭山脉西北侧，流经大阳岔、三岔子，三岔子以上为河源区，西南、西北、东北三岔分别发源于长白山龙岗山脉的大板石岭、三长旗岭、枫叶岭，汇于三岔子镇后称为浑江，市区北部有浑江自东向西流过，面宽流缓，河床落差较小，在1</w:t>
      </w:r>
      <w:r>
        <w:rPr>
          <w:rFonts w:hint="eastAsia" w:cs="Times New Roman"/>
          <w:lang w:val="en-US" w:eastAsia="zh-CN"/>
        </w:rPr>
        <w:t>~</w:t>
      </w:r>
      <w:r>
        <w:rPr>
          <w:rFonts w:hint="default" w:ascii="Times New Roman" w:hAnsi="Times New Roman" w:cs="Times New Roman"/>
        </w:rPr>
        <w:t>1.5‰之间。</w:t>
      </w:r>
    </w:p>
    <w:p w14:paraId="267E35F0">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汤河是松花江水系头道松花江左岸一级支流，发源于湾沟镇境内，区内流域面积349km</w:t>
      </w:r>
      <w:r>
        <w:rPr>
          <w:rFonts w:hint="default" w:ascii="Times New Roman" w:hAnsi="Times New Roman" w:cs="Times New Roman"/>
          <w:vertAlign w:val="superscript"/>
        </w:rPr>
        <w:t>2</w:t>
      </w:r>
      <w:r>
        <w:rPr>
          <w:rFonts w:hint="default" w:ascii="Times New Roman" w:hAnsi="Times New Roman" w:cs="Times New Roman"/>
        </w:rPr>
        <w:t>，河道长度57.2km，河道坡度3.9‰。江源区境内汤河支流众多，主要有大夹皮沟、朱河沟、大姑娘沟、黑熊沟等。</w:t>
      </w:r>
    </w:p>
    <w:p w14:paraId="72521F16">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江源区主要河流见下表</w:t>
      </w:r>
      <w:r>
        <w:rPr>
          <w:rFonts w:hint="eastAsia" w:cs="Times New Roman"/>
          <w:lang w:val="en-US" w:eastAsia="zh-CN"/>
        </w:rPr>
        <w:t>1</w:t>
      </w:r>
      <w:r>
        <w:rPr>
          <w:rFonts w:hint="default" w:ascii="Times New Roman" w:hAnsi="Times New Roman" w:cs="Times New Roman"/>
        </w:rPr>
        <w:t>-1。</w:t>
      </w:r>
    </w:p>
    <w:p w14:paraId="221B8598">
      <w:pPr>
        <w:pStyle w:val="16"/>
        <w:kinsoku/>
        <w:wordWrap/>
        <w:topLinePunct w:val="0"/>
        <w:autoSpaceDE/>
        <w:autoSpaceDN/>
        <w:bidi w:val="0"/>
        <w:adjustRightInd/>
        <w:snapToGrid/>
        <w:textAlignment w:val="auto"/>
        <w:rPr>
          <w:rFonts w:hint="default" w:ascii="Times New Roman" w:hAnsi="Times New Roman" w:cs="Times New Roman"/>
        </w:rPr>
        <w:sectPr>
          <w:footerReference r:id="rId7" w:type="default"/>
          <w:pgSz w:w="11906" w:h="16838"/>
          <w:pgMar w:top="1440" w:right="1800" w:bottom="1440" w:left="1800" w:header="851" w:footer="992" w:gutter="0"/>
          <w:pgNumType w:fmt="numberInDash" w:start="1"/>
          <w:cols w:space="0" w:num="1"/>
          <w:rtlGutter w:val="0"/>
          <w:docGrid w:type="lines" w:linePitch="332" w:charSpace="0"/>
        </w:sectPr>
      </w:pPr>
    </w:p>
    <w:p w14:paraId="0499920D">
      <w:pPr>
        <w:pStyle w:val="16"/>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1</w:t>
      </w:r>
      <w:r>
        <w:rPr>
          <w:rFonts w:hint="default" w:ascii="Times New Roman" w:hAnsi="Times New Roman" w:cs="Times New Roman"/>
        </w:rPr>
        <w:t>-1江源区主要河流情况一览表</w:t>
      </w:r>
    </w:p>
    <w:tbl>
      <w:tblPr>
        <w:tblStyle w:val="13"/>
        <w:tblW w:w="4998" w:type="pct"/>
        <w:tblInd w:w="0" w:type="dxa"/>
        <w:tblBorders>
          <w:top w:val="single" w:color="auto" w:sz="12" w:space="0"/>
          <w:left w:val="none" w:color="auto" w:sz="0" w:space="0"/>
          <w:bottom w:val="single" w:color="auto" w:sz="12" w:space="0"/>
          <w:right w:val="none" w:color="auto" w:sz="0" w:space="0"/>
          <w:insideH w:val="none" w:color="auto" w:sz="4" w:space="0"/>
          <w:insideV w:val="none" w:color="auto" w:sz="4" w:space="0"/>
        </w:tblBorders>
        <w:shd w:val="clear" w:color="auto" w:fill="auto"/>
        <w:tblLayout w:type="autofit"/>
        <w:tblCellMar>
          <w:top w:w="0" w:type="dxa"/>
          <w:left w:w="108" w:type="dxa"/>
          <w:bottom w:w="0" w:type="dxa"/>
          <w:right w:w="108" w:type="dxa"/>
        </w:tblCellMar>
      </w:tblPr>
      <w:tblGrid>
        <w:gridCol w:w="914"/>
        <w:gridCol w:w="636"/>
        <w:gridCol w:w="1506"/>
        <w:gridCol w:w="1299"/>
        <w:gridCol w:w="1040"/>
        <w:gridCol w:w="1042"/>
        <w:gridCol w:w="1040"/>
        <w:gridCol w:w="1042"/>
      </w:tblGrid>
      <w:tr w14:paraId="5FBE820C">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shd w:val="clear" w:color="auto" w:fill="auto"/>
          <w:tblCellMar>
            <w:top w:w="0" w:type="dxa"/>
            <w:left w:w="108" w:type="dxa"/>
            <w:bottom w:w="0" w:type="dxa"/>
            <w:right w:w="108" w:type="dxa"/>
          </w:tblCellMar>
        </w:tblPrEx>
        <w:trPr>
          <w:trHeight w:val="280" w:hRule="atLeast"/>
        </w:trPr>
        <w:tc>
          <w:tcPr>
            <w:tcW w:w="538" w:type="pct"/>
            <w:vMerge w:val="restart"/>
            <w:tcBorders>
              <w:bottom w:val="single" w:color="auto" w:sz="4" w:space="0"/>
              <w:right w:val="single" w:color="auto" w:sz="4" w:space="0"/>
            </w:tcBorders>
            <w:shd w:val="clear" w:color="auto" w:fill="auto"/>
            <w:noWrap/>
            <w:vAlign w:val="center"/>
          </w:tcPr>
          <w:p w14:paraId="1C61A55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水系</w:t>
            </w:r>
          </w:p>
        </w:tc>
        <w:tc>
          <w:tcPr>
            <w:tcW w:w="364" w:type="pct"/>
            <w:vMerge w:val="restart"/>
            <w:tcBorders>
              <w:left w:val="single" w:color="auto" w:sz="4" w:space="0"/>
              <w:bottom w:val="single" w:color="auto" w:sz="4" w:space="0"/>
              <w:right w:val="single" w:color="auto" w:sz="4" w:space="0"/>
            </w:tcBorders>
            <w:shd w:val="clear" w:color="auto" w:fill="auto"/>
            <w:noWrap/>
            <w:vAlign w:val="center"/>
          </w:tcPr>
          <w:p w14:paraId="598D58B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编号</w:t>
            </w:r>
          </w:p>
        </w:tc>
        <w:tc>
          <w:tcPr>
            <w:tcW w:w="885" w:type="pct"/>
            <w:vMerge w:val="restart"/>
            <w:tcBorders>
              <w:left w:val="single" w:color="auto" w:sz="4" w:space="0"/>
              <w:bottom w:val="single" w:color="auto" w:sz="4" w:space="0"/>
              <w:right w:val="single" w:color="auto" w:sz="4" w:space="0"/>
            </w:tcBorders>
            <w:shd w:val="clear" w:color="auto" w:fill="auto"/>
            <w:noWrap w:val="0"/>
            <w:vAlign w:val="center"/>
          </w:tcPr>
          <w:p w14:paraId="40E0208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河流名称</w:t>
            </w:r>
          </w:p>
        </w:tc>
        <w:tc>
          <w:tcPr>
            <w:tcW w:w="763" w:type="pct"/>
            <w:vMerge w:val="restart"/>
            <w:tcBorders>
              <w:left w:val="single" w:color="auto" w:sz="4" w:space="0"/>
              <w:bottom w:val="single" w:color="auto" w:sz="4" w:space="0"/>
              <w:right w:val="single" w:color="auto" w:sz="4" w:space="0"/>
            </w:tcBorders>
            <w:shd w:val="clear" w:color="auto" w:fill="auto"/>
            <w:noWrap w:val="0"/>
            <w:vAlign w:val="center"/>
          </w:tcPr>
          <w:p w14:paraId="36E822E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流域面积</w:t>
            </w:r>
            <w:r>
              <w:rPr>
                <w:rFonts w:hint="default" w:ascii="Times New Roman" w:hAnsi="Times New Roman" w:cs="Times New Roman"/>
              </w:rPr>
              <w:br w:type="textWrapping"/>
            </w:r>
            <w:r>
              <w:rPr>
                <w:rFonts w:hint="default" w:ascii="Times New Roman" w:hAnsi="Times New Roman" w:cs="Times New Roman"/>
              </w:rPr>
              <w:t>（km</w:t>
            </w:r>
            <w:r>
              <w:rPr>
                <w:rFonts w:hint="default" w:ascii="Times New Roman" w:hAnsi="Times New Roman" w:cs="Times New Roman"/>
                <w:vertAlign w:val="superscript"/>
              </w:rPr>
              <w:t>2</w:t>
            </w:r>
            <w:r>
              <w:rPr>
                <w:rFonts w:hint="default" w:ascii="Times New Roman" w:hAnsi="Times New Roman" w:cs="Times New Roman"/>
              </w:rPr>
              <w:t>）</w:t>
            </w:r>
          </w:p>
        </w:tc>
        <w:tc>
          <w:tcPr>
            <w:tcW w:w="1223" w:type="pct"/>
            <w:gridSpan w:val="2"/>
            <w:tcBorders>
              <w:left w:val="nil"/>
              <w:bottom w:val="single" w:color="auto" w:sz="4" w:space="0"/>
              <w:right w:val="single" w:color="auto" w:sz="4" w:space="0"/>
            </w:tcBorders>
            <w:shd w:val="clear" w:color="auto" w:fill="auto"/>
            <w:noWrap/>
            <w:vAlign w:val="center"/>
          </w:tcPr>
          <w:p w14:paraId="2719456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河道长度（km）</w:t>
            </w:r>
          </w:p>
        </w:tc>
        <w:tc>
          <w:tcPr>
            <w:tcW w:w="1223" w:type="pct"/>
            <w:gridSpan w:val="2"/>
            <w:tcBorders>
              <w:left w:val="nil"/>
              <w:bottom w:val="single" w:color="auto" w:sz="4" w:space="0"/>
            </w:tcBorders>
            <w:shd w:val="clear" w:color="auto" w:fill="auto"/>
            <w:noWrap/>
            <w:vAlign w:val="center"/>
          </w:tcPr>
          <w:p w14:paraId="5C4E43A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河道坡度（‰）</w:t>
            </w:r>
          </w:p>
        </w:tc>
      </w:tr>
      <w:tr w14:paraId="5452935D">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520" w:hRule="atLeast"/>
        </w:trPr>
        <w:tc>
          <w:tcPr>
            <w:tcW w:w="538" w:type="pct"/>
            <w:vMerge w:val="continue"/>
            <w:tcBorders>
              <w:top w:val="single" w:color="auto" w:sz="4" w:space="0"/>
              <w:bottom w:val="single" w:color="auto" w:sz="4" w:space="0"/>
              <w:right w:val="single" w:color="auto" w:sz="4" w:space="0"/>
            </w:tcBorders>
            <w:shd w:val="clear" w:color="auto" w:fill="auto"/>
            <w:noWrap w:val="0"/>
            <w:vAlign w:val="center"/>
          </w:tcPr>
          <w:p w14:paraId="0AD8AA08">
            <w:pPr>
              <w:pStyle w:val="17"/>
              <w:kinsoku/>
              <w:wordWrap/>
              <w:topLinePunct w:val="0"/>
              <w:autoSpaceDE/>
              <w:autoSpaceDN/>
              <w:bidi w:val="0"/>
              <w:adjustRightInd/>
              <w:snapToGrid/>
              <w:textAlignment w:val="auto"/>
              <w:rPr>
                <w:rFonts w:hint="default" w:ascii="Times New Roman" w:hAnsi="Times New Roman" w:cs="Times New Roman"/>
              </w:rPr>
            </w:pPr>
          </w:p>
        </w:tc>
        <w:tc>
          <w:tcPr>
            <w:tcW w:w="36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A7188B3">
            <w:pPr>
              <w:pStyle w:val="17"/>
              <w:kinsoku/>
              <w:wordWrap/>
              <w:topLinePunct w:val="0"/>
              <w:autoSpaceDE/>
              <w:autoSpaceDN/>
              <w:bidi w:val="0"/>
              <w:adjustRightInd/>
              <w:snapToGrid/>
              <w:textAlignment w:val="auto"/>
              <w:rPr>
                <w:rFonts w:hint="default" w:ascii="Times New Roman" w:hAnsi="Times New Roman" w:cs="Times New Roman"/>
              </w:rPr>
            </w:pPr>
          </w:p>
        </w:tc>
        <w:tc>
          <w:tcPr>
            <w:tcW w:w="885"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5FB7BAB3">
            <w:pPr>
              <w:pStyle w:val="17"/>
              <w:kinsoku/>
              <w:wordWrap/>
              <w:topLinePunct w:val="0"/>
              <w:autoSpaceDE/>
              <w:autoSpaceDN/>
              <w:bidi w:val="0"/>
              <w:adjustRightInd/>
              <w:snapToGrid/>
              <w:textAlignment w:val="auto"/>
              <w:rPr>
                <w:rFonts w:hint="default" w:ascii="Times New Roman" w:hAnsi="Times New Roman" w:cs="Times New Roman"/>
              </w:rPr>
            </w:pPr>
          </w:p>
        </w:tc>
        <w:tc>
          <w:tcPr>
            <w:tcW w:w="763"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027A7019">
            <w:pPr>
              <w:pStyle w:val="17"/>
              <w:kinsoku/>
              <w:wordWrap/>
              <w:topLinePunct w:val="0"/>
              <w:autoSpaceDE/>
              <w:autoSpaceDN/>
              <w:bidi w:val="0"/>
              <w:adjustRightInd/>
              <w:snapToGrid/>
              <w:textAlignment w:val="auto"/>
              <w:rPr>
                <w:rFonts w:hint="default" w:ascii="Times New Roman" w:hAnsi="Times New Roman" w:cs="Times New Roman"/>
              </w:rPr>
            </w:pPr>
          </w:p>
        </w:tc>
        <w:tc>
          <w:tcPr>
            <w:tcW w:w="611" w:type="pct"/>
            <w:tcBorders>
              <w:top w:val="nil"/>
              <w:left w:val="nil"/>
              <w:bottom w:val="single" w:color="auto" w:sz="4" w:space="0"/>
              <w:right w:val="single" w:color="auto" w:sz="4" w:space="0"/>
            </w:tcBorders>
            <w:shd w:val="clear" w:color="auto" w:fill="auto"/>
            <w:noWrap w:val="0"/>
            <w:vAlign w:val="center"/>
          </w:tcPr>
          <w:p w14:paraId="210FEE7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分水岭</w:t>
            </w:r>
            <w:r>
              <w:rPr>
                <w:rFonts w:hint="default" w:ascii="Times New Roman" w:hAnsi="Times New Roman" w:cs="Times New Roman"/>
              </w:rPr>
              <w:br w:type="textWrapping"/>
            </w:r>
            <w:r>
              <w:rPr>
                <w:rFonts w:hint="default" w:ascii="Times New Roman" w:hAnsi="Times New Roman" w:cs="Times New Roman"/>
              </w:rPr>
              <w:t>至河口</w:t>
            </w:r>
          </w:p>
        </w:tc>
        <w:tc>
          <w:tcPr>
            <w:tcW w:w="612" w:type="pct"/>
            <w:tcBorders>
              <w:top w:val="nil"/>
              <w:left w:val="nil"/>
              <w:bottom w:val="single" w:color="auto" w:sz="4" w:space="0"/>
              <w:right w:val="single" w:color="auto" w:sz="4" w:space="0"/>
            </w:tcBorders>
            <w:shd w:val="clear" w:color="auto" w:fill="auto"/>
            <w:noWrap w:val="0"/>
            <w:vAlign w:val="center"/>
          </w:tcPr>
          <w:p w14:paraId="1D2D0F4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河源</w:t>
            </w:r>
            <w:r>
              <w:rPr>
                <w:rFonts w:hint="default" w:ascii="Times New Roman" w:hAnsi="Times New Roman" w:cs="Times New Roman"/>
              </w:rPr>
              <w:br w:type="textWrapping"/>
            </w:r>
            <w:r>
              <w:rPr>
                <w:rFonts w:hint="default" w:ascii="Times New Roman" w:hAnsi="Times New Roman" w:cs="Times New Roman"/>
              </w:rPr>
              <w:t>至河口</w:t>
            </w:r>
          </w:p>
        </w:tc>
        <w:tc>
          <w:tcPr>
            <w:tcW w:w="611" w:type="pct"/>
            <w:tcBorders>
              <w:top w:val="nil"/>
              <w:left w:val="nil"/>
              <w:bottom w:val="single" w:color="auto" w:sz="4" w:space="0"/>
              <w:right w:val="single" w:color="auto" w:sz="4" w:space="0"/>
            </w:tcBorders>
            <w:shd w:val="clear" w:color="auto" w:fill="auto"/>
            <w:noWrap w:val="0"/>
            <w:vAlign w:val="center"/>
          </w:tcPr>
          <w:p w14:paraId="4CD2198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分水岭</w:t>
            </w:r>
            <w:r>
              <w:rPr>
                <w:rFonts w:hint="default" w:ascii="Times New Roman" w:hAnsi="Times New Roman" w:cs="Times New Roman"/>
              </w:rPr>
              <w:br w:type="textWrapping"/>
            </w:r>
            <w:r>
              <w:rPr>
                <w:rFonts w:hint="default" w:ascii="Times New Roman" w:hAnsi="Times New Roman" w:cs="Times New Roman"/>
              </w:rPr>
              <w:t>至河口</w:t>
            </w:r>
          </w:p>
        </w:tc>
        <w:tc>
          <w:tcPr>
            <w:tcW w:w="612" w:type="pct"/>
            <w:tcBorders>
              <w:top w:val="nil"/>
              <w:left w:val="nil"/>
              <w:bottom w:val="single" w:color="auto" w:sz="4" w:space="0"/>
            </w:tcBorders>
            <w:shd w:val="clear" w:color="auto" w:fill="auto"/>
            <w:noWrap w:val="0"/>
            <w:vAlign w:val="center"/>
          </w:tcPr>
          <w:p w14:paraId="15DD661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河源</w:t>
            </w:r>
            <w:r>
              <w:rPr>
                <w:rFonts w:hint="default" w:ascii="Times New Roman" w:hAnsi="Times New Roman" w:cs="Times New Roman"/>
              </w:rPr>
              <w:br w:type="textWrapping"/>
            </w:r>
            <w:r>
              <w:rPr>
                <w:rFonts w:hint="default" w:ascii="Times New Roman" w:hAnsi="Times New Roman" w:cs="Times New Roman"/>
              </w:rPr>
              <w:t>至河口</w:t>
            </w:r>
          </w:p>
        </w:tc>
      </w:tr>
      <w:tr w14:paraId="7E0C7F42">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38" w:type="pct"/>
            <w:vMerge w:val="restart"/>
            <w:tcBorders>
              <w:top w:val="nil"/>
              <w:bottom w:val="single" w:color="auto" w:sz="4" w:space="0"/>
              <w:right w:val="single" w:color="auto" w:sz="4" w:space="0"/>
            </w:tcBorders>
            <w:shd w:val="clear" w:color="auto" w:fill="auto"/>
            <w:noWrap/>
            <w:vAlign w:val="center"/>
          </w:tcPr>
          <w:p w14:paraId="3975B67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松花江</w:t>
            </w:r>
          </w:p>
        </w:tc>
        <w:tc>
          <w:tcPr>
            <w:tcW w:w="364" w:type="pct"/>
            <w:tcBorders>
              <w:top w:val="nil"/>
              <w:left w:val="nil"/>
              <w:bottom w:val="single" w:color="auto" w:sz="4" w:space="0"/>
              <w:right w:val="single" w:color="auto" w:sz="4" w:space="0"/>
            </w:tcBorders>
            <w:shd w:val="clear" w:color="auto" w:fill="auto"/>
            <w:noWrap/>
            <w:vAlign w:val="center"/>
          </w:tcPr>
          <w:p w14:paraId="7F71691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w:t>
            </w:r>
          </w:p>
        </w:tc>
        <w:tc>
          <w:tcPr>
            <w:tcW w:w="885" w:type="pct"/>
            <w:tcBorders>
              <w:top w:val="nil"/>
              <w:left w:val="nil"/>
              <w:bottom w:val="single" w:color="auto" w:sz="4" w:space="0"/>
              <w:right w:val="single" w:color="auto" w:sz="4" w:space="0"/>
            </w:tcBorders>
            <w:shd w:val="clear" w:color="auto" w:fill="auto"/>
            <w:noWrap/>
            <w:vAlign w:val="center"/>
          </w:tcPr>
          <w:p w14:paraId="17D4104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汤河</w:t>
            </w:r>
          </w:p>
        </w:tc>
        <w:tc>
          <w:tcPr>
            <w:tcW w:w="763" w:type="pct"/>
            <w:tcBorders>
              <w:top w:val="nil"/>
              <w:left w:val="nil"/>
              <w:bottom w:val="single" w:color="auto" w:sz="4" w:space="0"/>
              <w:right w:val="single" w:color="auto" w:sz="4" w:space="0"/>
            </w:tcBorders>
            <w:shd w:val="clear" w:color="auto" w:fill="auto"/>
            <w:noWrap/>
            <w:vAlign w:val="center"/>
          </w:tcPr>
          <w:p w14:paraId="08D3D84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349.0</w:t>
            </w:r>
          </w:p>
        </w:tc>
        <w:tc>
          <w:tcPr>
            <w:tcW w:w="611" w:type="pct"/>
            <w:tcBorders>
              <w:top w:val="nil"/>
              <w:left w:val="nil"/>
              <w:bottom w:val="single" w:color="auto" w:sz="4" w:space="0"/>
              <w:right w:val="single" w:color="auto" w:sz="4" w:space="0"/>
            </w:tcBorders>
            <w:shd w:val="clear" w:color="auto" w:fill="auto"/>
            <w:noWrap/>
            <w:vAlign w:val="center"/>
          </w:tcPr>
          <w:p w14:paraId="5DCDC2B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57.2</w:t>
            </w:r>
          </w:p>
        </w:tc>
        <w:tc>
          <w:tcPr>
            <w:tcW w:w="612" w:type="pct"/>
            <w:tcBorders>
              <w:top w:val="nil"/>
              <w:left w:val="nil"/>
              <w:bottom w:val="single" w:color="auto" w:sz="4" w:space="0"/>
              <w:right w:val="single" w:color="auto" w:sz="4" w:space="0"/>
            </w:tcBorders>
            <w:shd w:val="clear" w:color="auto" w:fill="auto"/>
            <w:noWrap/>
            <w:vAlign w:val="center"/>
          </w:tcPr>
          <w:p w14:paraId="144CB5B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56.5</w:t>
            </w:r>
          </w:p>
        </w:tc>
        <w:tc>
          <w:tcPr>
            <w:tcW w:w="611" w:type="pct"/>
            <w:tcBorders>
              <w:top w:val="nil"/>
              <w:left w:val="nil"/>
              <w:bottom w:val="single" w:color="auto" w:sz="4" w:space="0"/>
              <w:right w:val="single" w:color="auto" w:sz="4" w:space="0"/>
            </w:tcBorders>
            <w:shd w:val="clear" w:color="auto" w:fill="auto"/>
            <w:noWrap/>
            <w:vAlign w:val="center"/>
          </w:tcPr>
          <w:p w14:paraId="008C244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4.0</w:t>
            </w:r>
          </w:p>
        </w:tc>
        <w:tc>
          <w:tcPr>
            <w:tcW w:w="612" w:type="pct"/>
            <w:tcBorders>
              <w:top w:val="nil"/>
              <w:left w:val="nil"/>
              <w:bottom w:val="single" w:color="auto" w:sz="4" w:space="0"/>
            </w:tcBorders>
            <w:shd w:val="clear" w:color="auto" w:fill="auto"/>
            <w:noWrap/>
            <w:vAlign w:val="center"/>
          </w:tcPr>
          <w:p w14:paraId="43FC98E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3.9</w:t>
            </w:r>
          </w:p>
        </w:tc>
      </w:tr>
      <w:tr w14:paraId="7D033EF0">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38" w:type="pct"/>
            <w:vMerge w:val="continue"/>
            <w:tcBorders>
              <w:top w:val="nil"/>
              <w:bottom w:val="single" w:color="auto" w:sz="4" w:space="0"/>
              <w:right w:val="single" w:color="auto" w:sz="4" w:space="0"/>
            </w:tcBorders>
            <w:shd w:val="clear" w:color="auto" w:fill="auto"/>
            <w:noWrap w:val="0"/>
            <w:vAlign w:val="center"/>
          </w:tcPr>
          <w:p w14:paraId="61F15D85">
            <w:pPr>
              <w:pStyle w:val="17"/>
              <w:kinsoku/>
              <w:wordWrap/>
              <w:topLinePunct w:val="0"/>
              <w:autoSpaceDE/>
              <w:autoSpaceDN/>
              <w:bidi w:val="0"/>
              <w:adjustRightInd/>
              <w:snapToGrid/>
              <w:textAlignment w:val="auto"/>
              <w:rPr>
                <w:rFonts w:hint="default" w:ascii="Times New Roman" w:hAnsi="Times New Roman" w:cs="Times New Roman"/>
              </w:rPr>
            </w:pPr>
          </w:p>
        </w:tc>
        <w:tc>
          <w:tcPr>
            <w:tcW w:w="364" w:type="pct"/>
            <w:tcBorders>
              <w:top w:val="nil"/>
              <w:left w:val="nil"/>
              <w:bottom w:val="single" w:color="auto" w:sz="4" w:space="0"/>
              <w:right w:val="single" w:color="auto" w:sz="4" w:space="0"/>
            </w:tcBorders>
            <w:shd w:val="clear" w:color="auto" w:fill="auto"/>
            <w:noWrap/>
            <w:vAlign w:val="center"/>
          </w:tcPr>
          <w:p w14:paraId="0834F6B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w:t>
            </w:r>
          </w:p>
        </w:tc>
        <w:tc>
          <w:tcPr>
            <w:tcW w:w="885" w:type="pct"/>
            <w:tcBorders>
              <w:top w:val="nil"/>
              <w:left w:val="nil"/>
              <w:bottom w:val="single" w:color="auto" w:sz="4" w:space="0"/>
              <w:right w:val="single" w:color="auto" w:sz="4" w:space="0"/>
            </w:tcBorders>
            <w:shd w:val="clear" w:color="auto" w:fill="auto"/>
            <w:noWrap/>
            <w:vAlign w:val="center"/>
          </w:tcPr>
          <w:p w14:paraId="49D6AC0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大夹皮沟河</w:t>
            </w:r>
          </w:p>
        </w:tc>
        <w:tc>
          <w:tcPr>
            <w:tcW w:w="763" w:type="pct"/>
            <w:tcBorders>
              <w:top w:val="nil"/>
              <w:left w:val="nil"/>
              <w:bottom w:val="single" w:color="auto" w:sz="4" w:space="0"/>
              <w:right w:val="single" w:color="auto" w:sz="4" w:space="0"/>
            </w:tcBorders>
            <w:shd w:val="clear" w:color="auto" w:fill="auto"/>
            <w:noWrap/>
            <w:vAlign w:val="center"/>
          </w:tcPr>
          <w:p w14:paraId="488EBC7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31.9</w:t>
            </w:r>
          </w:p>
        </w:tc>
        <w:tc>
          <w:tcPr>
            <w:tcW w:w="611" w:type="pct"/>
            <w:tcBorders>
              <w:top w:val="nil"/>
              <w:left w:val="nil"/>
              <w:bottom w:val="single" w:color="auto" w:sz="4" w:space="0"/>
              <w:right w:val="single" w:color="auto" w:sz="4" w:space="0"/>
            </w:tcBorders>
            <w:shd w:val="clear" w:color="auto" w:fill="auto"/>
            <w:noWrap/>
            <w:vAlign w:val="center"/>
          </w:tcPr>
          <w:p w14:paraId="3116595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11.2</w:t>
            </w:r>
          </w:p>
        </w:tc>
        <w:tc>
          <w:tcPr>
            <w:tcW w:w="612" w:type="pct"/>
            <w:tcBorders>
              <w:top w:val="nil"/>
              <w:left w:val="nil"/>
              <w:bottom w:val="single" w:color="auto" w:sz="4" w:space="0"/>
              <w:right w:val="single" w:color="auto" w:sz="4" w:space="0"/>
            </w:tcBorders>
            <w:shd w:val="clear" w:color="auto" w:fill="auto"/>
            <w:noWrap/>
            <w:vAlign w:val="center"/>
          </w:tcPr>
          <w:p w14:paraId="46DE3ED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9.0</w:t>
            </w:r>
          </w:p>
        </w:tc>
        <w:tc>
          <w:tcPr>
            <w:tcW w:w="611" w:type="pct"/>
            <w:tcBorders>
              <w:top w:val="nil"/>
              <w:left w:val="nil"/>
              <w:bottom w:val="single" w:color="auto" w:sz="4" w:space="0"/>
              <w:right w:val="single" w:color="auto" w:sz="4" w:space="0"/>
            </w:tcBorders>
            <w:shd w:val="clear" w:color="auto" w:fill="auto"/>
            <w:noWrap/>
            <w:vAlign w:val="center"/>
          </w:tcPr>
          <w:p w14:paraId="2C84277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14.6</w:t>
            </w:r>
          </w:p>
        </w:tc>
        <w:tc>
          <w:tcPr>
            <w:tcW w:w="612" w:type="pct"/>
            <w:tcBorders>
              <w:top w:val="nil"/>
              <w:left w:val="nil"/>
              <w:bottom w:val="single" w:color="auto" w:sz="4" w:space="0"/>
            </w:tcBorders>
            <w:shd w:val="clear" w:color="auto" w:fill="auto"/>
            <w:noWrap/>
            <w:vAlign w:val="center"/>
          </w:tcPr>
          <w:p w14:paraId="6DC498D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14.1</w:t>
            </w:r>
          </w:p>
        </w:tc>
      </w:tr>
      <w:tr w14:paraId="053E22C6">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38" w:type="pct"/>
            <w:vMerge w:val="continue"/>
            <w:tcBorders>
              <w:top w:val="nil"/>
              <w:bottom w:val="single" w:color="auto" w:sz="4" w:space="0"/>
              <w:right w:val="single" w:color="auto" w:sz="4" w:space="0"/>
            </w:tcBorders>
            <w:shd w:val="clear" w:color="auto" w:fill="auto"/>
            <w:noWrap w:val="0"/>
            <w:vAlign w:val="center"/>
          </w:tcPr>
          <w:p w14:paraId="27D0784A">
            <w:pPr>
              <w:pStyle w:val="17"/>
              <w:kinsoku/>
              <w:wordWrap/>
              <w:topLinePunct w:val="0"/>
              <w:autoSpaceDE/>
              <w:autoSpaceDN/>
              <w:bidi w:val="0"/>
              <w:adjustRightInd/>
              <w:snapToGrid/>
              <w:textAlignment w:val="auto"/>
              <w:rPr>
                <w:rFonts w:hint="default" w:ascii="Times New Roman" w:hAnsi="Times New Roman" w:cs="Times New Roman"/>
              </w:rPr>
            </w:pPr>
          </w:p>
        </w:tc>
        <w:tc>
          <w:tcPr>
            <w:tcW w:w="364" w:type="pct"/>
            <w:tcBorders>
              <w:top w:val="nil"/>
              <w:left w:val="nil"/>
              <w:bottom w:val="single" w:color="auto" w:sz="4" w:space="0"/>
              <w:right w:val="single" w:color="auto" w:sz="4" w:space="0"/>
            </w:tcBorders>
            <w:shd w:val="clear" w:color="auto" w:fill="auto"/>
            <w:noWrap/>
            <w:vAlign w:val="center"/>
          </w:tcPr>
          <w:p w14:paraId="739B716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3</w:t>
            </w:r>
          </w:p>
        </w:tc>
        <w:tc>
          <w:tcPr>
            <w:tcW w:w="885" w:type="pct"/>
            <w:tcBorders>
              <w:top w:val="nil"/>
              <w:left w:val="nil"/>
              <w:bottom w:val="single" w:color="auto" w:sz="4" w:space="0"/>
              <w:right w:val="single" w:color="auto" w:sz="4" w:space="0"/>
            </w:tcBorders>
            <w:shd w:val="clear" w:color="auto" w:fill="auto"/>
            <w:noWrap/>
            <w:vAlign w:val="center"/>
          </w:tcPr>
          <w:p w14:paraId="5FF7BAC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朱河沟</w:t>
            </w:r>
          </w:p>
        </w:tc>
        <w:tc>
          <w:tcPr>
            <w:tcW w:w="763" w:type="pct"/>
            <w:tcBorders>
              <w:top w:val="nil"/>
              <w:left w:val="nil"/>
              <w:bottom w:val="single" w:color="auto" w:sz="4" w:space="0"/>
              <w:right w:val="single" w:color="auto" w:sz="4" w:space="0"/>
            </w:tcBorders>
            <w:shd w:val="clear" w:color="auto" w:fill="auto"/>
            <w:noWrap/>
            <w:vAlign w:val="center"/>
          </w:tcPr>
          <w:p w14:paraId="0C5DE56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81.1</w:t>
            </w:r>
          </w:p>
        </w:tc>
        <w:tc>
          <w:tcPr>
            <w:tcW w:w="611" w:type="pct"/>
            <w:tcBorders>
              <w:top w:val="nil"/>
              <w:left w:val="nil"/>
              <w:bottom w:val="single" w:color="auto" w:sz="4" w:space="0"/>
              <w:right w:val="single" w:color="auto" w:sz="4" w:space="0"/>
            </w:tcBorders>
            <w:shd w:val="clear" w:color="auto" w:fill="auto"/>
            <w:noWrap/>
            <w:vAlign w:val="center"/>
          </w:tcPr>
          <w:p w14:paraId="203687D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14.1</w:t>
            </w:r>
          </w:p>
        </w:tc>
        <w:tc>
          <w:tcPr>
            <w:tcW w:w="612" w:type="pct"/>
            <w:tcBorders>
              <w:top w:val="nil"/>
              <w:left w:val="nil"/>
              <w:bottom w:val="single" w:color="auto" w:sz="4" w:space="0"/>
              <w:right w:val="single" w:color="auto" w:sz="4" w:space="0"/>
            </w:tcBorders>
            <w:shd w:val="clear" w:color="auto" w:fill="auto"/>
            <w:noWrap/>
            <w:vAlign w:val="center"/>
          </w:tcPr>
          <w:p w14:paraId="20883A1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12.4</w:t>
            </w:r>
          </w:p>
        </w:tc>
        <w:tc>
          <w:tcPr>
            <w:tcW w:w="611" w:type="pct"/>
            <w:tcBorders>
              <w:top w:val="nil"/>
              <w:left w:val="nil"/>
              <w:bottom w:val="single" w:color="auto" w:sz="4" w:space="0"/>
              <w:right w:val="single" w:color="auto" w:sz="4" w:space="0"/>
            </w:tcBorders>
            <w:shd w:val="clear" w:color="auto" w:fill="auto"/>
            <w:noWrap/>
            <w:vAlign w:val="center"/>
          </w:tcPr>
          <w:p w14:paraId="664F56F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12.3</w:t>
            </w:r>
          </w:p>
        </w:tc>
        <w:tc>
          <w:tcPr>
            <w:tcW w:w="612" w:type="pct"/>
            <w:tcBorders>
              <w:top w:val="nil"/>
              <w:left w:val="nil"/>
              <w:bottom w:val="single" w:color="auto" w:sz="4" w:space="0"/>
            </w:tcBorders>
            <w:shd w:val="clear" w:color="auto" w:fill="auto"/>
            <w:noWrap/>
            <w:vAlign w:val="center"/>
          </w:tcPr>
          <w:p w14:paraId="6BF142C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9.6</w:t>
            </w:r>
          </w:p>
        </w:tc>
      </w:tr>
      <w:tr w14:paraId="710FCC50">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38" w:type="pct"/>
            <w:vMerge w:val="continue"/>
            <w:tcBorders>
              <w:top w:val="nil"/>
              <w:bottom w:val="single" w:color="auto" w:sz="4" w:space="0"/>
              <w:right w:val="single" w:color="auto" w:sz="4" w:space="0"/>
            </w:tcBorders>
            <w:shd w:val="clear" w:color="auto" w:fill="auto"/>
            <w:noWrap w:val="0"/>
            <w:vAlign w:val="center"/>
          </w:tcPr>
          <w:p w14:paraId="5DB14D37">
            <w:pPr>
              <w:pStyle w:val="17"/>
              <w:kinsoku/>
              <w:wordWrap/>
              <w:topLinePunct w:val="0"/>
              <w:autoSpaceDE/>
              <w:autoSpaceDN/>
              <w:bidi w:val="0"/>
              <w:adjustRightInd/>
              <w:snapToGrid/>
              <w:textAlignment w:val="auto"/>
              <w:rPr>
                <w:rFonts w:hint="default" w:ascii="Times New Roman" w:hAnsi="Times New Roman" w:cs="Times New Roman"/>
              </w:rPr>
            </w:pPr>
          </w:p>
        </w:tc>
        <w:tc>
          <w:tcPr>
            <w:tcW w:w="364" w:type="pct"/>
            <w:tcBorders>
              <w:top w:val="nil"/>
              <w:left w:val="nil"/>
              <w:bottom w:val="single" w:color="auto" w:sz="4" w:space="0"/>
              <w:right w:val="single" w:color="auto" w:sz="4" w:space="0"/>
            </w:tcBorders>
            <w:shd w:val="clear" w:color="auto" w:fill="auto"/>
            <w:noWrap/>
            <w:vAlign w:val="center"/>
          </w:tcPr>
          <w:p w14:paraId="3D13535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4</w:t>
            </w:r>
          </w:p>
        </w:tc>
        <w:tc>
          <w:tcPr>
            <w:tcW w:w="885" w:type="pct"/>
            <w:tcBorders>
              <w:top w:val="nil"/>
              <w:left w:val="nil"/>
              <w:bottom w:val="single" w:color="auto" w:sz="4" w:space="0"/>
              <w:right w:val="single" w:color="auto" w:sz="4" w:space="0"/>
            </w:tcBorders>
            <w:shd w:val="clear" w:color="auto" w:fill="auto"/>
            <w:noWrap/>
            <w:vAlign w:val="center"/>
          </w:tcPr>
          <w:p w14:paraId="385CE71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大姑娘沟</w:t>
            </w:r>
          </w:p>
        </w:tc>
        <w:tc>
          <w:tcPr>
            <w:tcW w:w="763" w:type="pct"/>
            <w:tcBorders>
              <w:top w:val="nil"/>
              <w:left w:val="nil"/>
              <w:bottom w:val="single" w:color="auto" w:sz="4" w:space="0"/>
              <w:right w:val="single" w:color="auto" w:sz="4" w:space="0"/>
            </w:tcBorders>
            <w:shd w:val="clear" w:color="auto" w:fill="auto"/>
            <w:noWrap/>
            <w:vAlign w:val="center"/>
          </w:tcPr>
          <w:p w14:paraId="5EF781D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46.1</w:t>
            </w:r>
          </w:p>
        </w:tc>
        <w:tc>
          <w:tcPr>
            <w:tcW w:w="611" w:type="pct"/>
            <w:tcBorders>
              <w:top w:val="nil"/>
              <w:left w:val="nil"/>
              <w:bottom w:val="single" w:color="auto" w:sz="4" w:space="0"/>
              <w:right w:val="single" w:color="auto" w:sz="4" w:space="0"/>
            </w:tcBorders>
            <w:shd w:val="clear" w:color="auto" w:fill="auto"/>
            <w:noWrap/>
            <w:vAlign w:val="center"/>
          </w:tcPr>
          <w:p w14:paraId="4AD77AF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10.1</w:t>
            </w:r>
          </w:p>
        </w:tc>
        <w:tc>
          <w:tcPr>
            <w:tcW w:w="612" w:type="pct"/>
            <w:tcBorders>
              <w:top w:val="nil"/>
              <w:left w:val="nil"/>
              <w:bottom w:val="single" w:color="auto" w:sz="4" w:space="0"/>
              <w:right w:val="single" w:color="auto" w:sz="4" w:space="0"/>
            </w:tcBorders>
            <w:shd w:val="clear" w:color="auto" w:fill="auto"/>
            <w:noWrap/>
            <w:vAlign w:val="center"/>
          </w:tcPr>
          <w:p w14:paraId="73B981B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9.5</w:t>
            </w:r>
          </w:p>
        </w:tc>
        <w:tc>
          <w:tcPr>
            <w:tcW w:w="611" w:type="pct"/>
            <w:tcBorders>
              <w:top w:val="nil"/>
              <w:left w:val="nil"/>
              <w:bottom w:val="single" w:color="auto" w:sz="4" w:space="0"/>
              <w:right w:val="single" w:color="auto" w:sz="4" w:space="0"/>
            </w:tcBorders>
            <w:shd w:val="clear" w:color="auto" w:fill="auto"/>
            <w:noWrap/>
            <w:vAlign w:val="center"/>
          </w:tcPr>
          <w:p w14:paraId="41D11AF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19.3</w:t>
            </w:r>
          </w:p>
        </w:tc>
        <w:tc>
          <w:tcPr>
            <w:tcW w:w="612" w:type="pct"/>
            <w:tcBorders>
              <w:top w:val="nil"/>
              <w:left w:val="nil"/>
              <w:bottom w:val="single" w:color="auto" w:sz="4" w:space="0"/>
            </w:tcBorders>
            <w:shd w:val="clear" w:color="auto" w:fill="auto"/>
            <w:noWrap/>
            <w:vAlign w:val="center"/>
          </w:tcPr>
          <w:p w14:paraId="6616FA4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17.5</w:t>
            </w:r>
          </w:p>
        </w:tc>
      </w:tr>
      <w:tr w14:paraId="044DD2E1">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38" w:type="pct"/>
            <w:vMerge w:val="continue"/>
            <w:tcBorders>
              <w:top w:val="nil"/>
              <w:bottom w:val="single" w:color="auto" w:sz="4" w:space="0"/>
              <w:right w:val="single" w:color="auto" w:sz="4" w:space="0"/>
            </w:tcBorders>
            <w:shd w:val="clear" w:color="auto" w:fill="auto"/>
            <w:noWrap w:val="0"/>
            <w:vAlign w:val="center"/>
          </w:tcPr>
          <w:p w14:paraId="3967F4E6">
            <w:pPr>
              <w:pStyle w:val="17"/>
              <w:kinsoku/>
              <w:wordWrap/>
              <w:topLinePunct w:val="0"/>
              <w:autoSpaceDE/>
              <w:autoSpaceDN/>
              <w:bidi w:val="0"/>
              <w:adjustRightInd/>
              <w:snapToGrid/>
              <w:textAlignment w:val="auto"/>
              <w:rPr>
                <w:rFonts w:hint="default" w:ascii="Times New Roman" w:hAnsi="Times New Roman" w:cs="Times New Roman"/>
              </w:rPr>
            </w:pPr>
          </w:p>
        </w:tc>
        <w:tc>
          <w:tcPr>
            <w:tcW w:w="364" w:type="pct"/>
            <w:tcBorders>
              <w:top w:val="nil"/>
              <w:left w:val="nil"/>
              <w:bottom w:val="single" w:color="auto" w:sz="4" w:space="0"/>
              <w:right w:val="single" w:color="auto" w:sz="4" w:space="0"/>
            </w:tcBorders>
            <w:shd w:val="clear" w:color="auto" w:fill="auto"/>
            <w:noWrap/>
            <w:vAlign w:val="center"/>
          </w:tcPr>
          <w:p w14:paraId="3F858DA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w:t>
            </w:r>
          </w:p>
        </w:tc>
        <w:tc>
          <w:tcPr>
            <w:tcW w:w="885" w:type="pct"/>
            <w:tcBorders>
              <w:top w:val="nil"/>
              <w:left w:val="nil"/>
              <w:bottom w:val="single" w:color="auto" w:sz="4" w:space="0"/>
              <w:right w:val="single" w:color="auto" w:sz="4" w:space="0"/>
            </w:tcBorders>
            <w:shd w:val="clear" w:color="auto" w:fill="auto"/>
            <w:noWrap/>
            <w:vAlign w:val="center"/>
          </w:tcPr>
          <w:p w14:paraId="20B401C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黑熊沟</w:t>
            </w:r>
          </w:p>
        </w:tc>
        <w:tc>
          <w:tcPr>
            <w:tcW w:w="763" w:type="pct"/>
            <w:tcBorders>
              <w:top w:val="nil"/>
              <w:left w:val="nil"/>
              <w:bottom w:val="single" w:color="auto" w:sz="4" w:space="0"/>
              <w:right w:val="single" w:color="auto" w:sz="4" w:space="0"/>
            </w:tcBorders>
            <w:shd w:val="clear" w:color="auto" w:fill="auto"/>
            <w:noWrap/>
            <w:vAlign w:val="center"/>
          </w:tcPr>
          <w:p w14:paraId="706212C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41.7</w:t>
            </w:r>
          </w:p>
        </w:tc>
        <w:tc>
          <w:tcPr>
            <w:tcW w:w="611" w:type="pct"/>
            <w:tcBorders>
              <w:top w:val="nil"/>
              <w:left w:val="nil"/>
              <w:bottom w:val="single" w:color="auto" w:sz="4" w:space="0"/>
              <w:right w:val="single" w:color="auto" w:sz="4" w:space="0"/>
            </w:tcBorders>
            <w:shd w:val="clear" w:color="auto" w:fill="auto"/>
            <w:noWrap/>
            <w:vAlign w:val="center"/>
          </w:tcPr>
          <w:p w14:paraId="3F30F71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41.4</w:t>
            </w:r>
          </w:p>
        </w:tc>
        <w:tc>
          <w:tcPr>
            <w:tcW w:w="612" w:type="pct"/>
            <w:tcBorders>
              <w:top w:val="nil"/>
              <w:left w:val="nil"/>
              <w:bottom w:val="single" w:color="auto" w:sz="4" w:space="0"/>
              <w:right w:val="single" w:color="auto" w:sz="4" w:space="0"/>
            </w:tcBorders>
            <w:shd w:val="clear" w:color="auto" w:fill="auto"/>
            <w:noWrap/>
            <w:vAlign w:val="center"/>
          </w:tcPr>
          <w:p w14:paraId="53775FD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12.2</w:t>
            </w:r>
          </w:p>
        </w:tc>
        <w:tc>
          <w:tcPr>
            <w:tcW w:w="611" w:type="pct"/>
            <w:tcBorders>
              <w:top w:val="nil"/>
              <w:left w:val="nil"/>
              <w:bottom w:val="single" w:color="auto" w:sz="4" w:space="0"/>
              <w:right w:val="single" w:color="auto" w:sz="4" w:space="0"/>
            </w:tcBorders>
            <w:shd w:val="clear" w:color="auto" w:fill="auto"/>
            <w:noWrap/>
            <w:vAlign w:val="center"/>
          </w:tcPr>
          <w:p w14:paraId="6C005B4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18.5</w:t>
            </w:r>
          </w:p>
        </w:tc>
        <w:tc>
          <w:tcPr>
            <w:tcW w:w="612" w:type="pct"/>
            <w:tcBorders>
              <w:top w:val="nil"/>
              <w:left w:val="nil"/>
              <w:bottom w:val="single" w:color="auto" w:sz="4" w:space="0"/>
            </w:tcBorders>
            <w:shd w:val="clear" w:color="auto" w:fill="auto"/>
            <w:noWrap/>
            <w:vAlign w:val="center"/>
          </w:tcPr>
          <w:p w14:paraId="3838369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16.5</w:t>
            </w:r>
          </w:p>
        </w:tc>
      </w:tr>
      <w:tr w14:paraId="1FA9CE02">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38" w:type="pct"/>
            <w:vMerge w:val="continue"/>
            <w:tcBorders>
              <w:top w:val="nil"/>
              <w:bottom w:val="single" w:color="auto" w:sz="4" w:space="0"/>
              <w:right w:val="single" w:color="auto" w:sz="4" w:space="0"/>
            </w:tcBorders>
            <w:shd w:val="clear" w:color="auto" w:fill="auto"/>
            <w:noWrap w:val="0"/>
            <w:vAlign w:val="center"/>
          </w:tcPr>
          <w:p w14:paraId="7817091D">
            <w:pPr>
              <w:pStyle w:val="17"/>
              <w:kinsoku/>
              <w:wordWrap/>
              <w:topLinePunct w:val="0"/>
              <w:autoSpaceDE/>
              <w:autoSpaceDN/>
              <w:bidi w:val="0"/>
              <w:adjustRightInd/>
              <w:snapToGrid/>
              <w:textAlignment w:val="auto"/>
              <w:rPr>
                <w:rFonts w:hint="default" w:ascii="Times New Roman" w:hAnsi="Times New Roman" w:cs="Times New Roman"/>
              </w:rPr>
            </w:pPr>
          </w:p>
        </w:tc>
        <w:tc>
          <w:tcPr>
            <w:tcW w:w="364" w:type="pct"/>
            <w:tcBorders>
              <w:top w:val="nil"/>
              <w:left w:val="nil"/>
              <w:bottom w:val="single" w:color="auto" w:sz="4" w:space="0"/>
              <w:right w:val="single" w:color="auto" w:sz="4" w:space="0"/>
            </w:tcBorders>
            <w:shd w:val="clear" w:color="auto" w:fill="auto"/>
            <w:noWrap/>
            <w:vAlign w:val="center"/>
          </w:tcPr>
          <w:p w14:paraId="1047C9C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6</w:t>
            </w:r>
          </w:p>
        </w:tc>
        <w:tc>
          <w:tcPr>
            <w:tcW w:w="885" w:type="pct"/>
            <w:tcBorders>
              <w:top w:val="nil"/>
              <w:left w:val="nil"/>
              <w:bottom w:val="single" w:color="auto" w:sz="4" w:space="0"/>
              <w:right w:val="single" w:color="auto" w:sz="4" w:space="0"/>
            </w:tcBorders>
            <w:shd w:val="clear" w:color="auto" w:fill="auto"/>
            <w:noWrap/>
            <w:vAlign w:val="center"/>
          </w:tcPr>
          <w:p w14:paraId="34D5677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平川沟</w:t>
            </w:r>
          </w:p>
        </w:tc>
        <w:tc>
          <w:tcPr>
            <w:tcW w:w="763" w:type="pct"/>
            <w:tcBorders>
              <w:top w:val="nil"/>
              <w:left w:val="nil"/>
              <w:bottom w:val="single" w:color="auto" w:sz="4" w:space="0"/>
              <w:right w:val="single" w:color="auto" w:sz="4" w:space="0"/>
            </w:tcBorders>
            <w:shd w:val="clear" w:color="auto" w:fill="auto"/>
            <w:noWrap/>
            <w:vAlign w:val="center"/>
          </w:tcPr>
          <w:p w14:paraId="1A57A1A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38.9</w:t>
            </w:r>
          </w:p>
        </w:tc>
        <w:tc>
          <w:tcPr>
            <w:tcW w:w="611" w:type="pct"/>
            <w:tcBorders>
              <w:top w:val="nil"/>
              <w:left w:val="nil"/>
              <w:bottom w:val="single" w:color="auto" w:sz="4" w:space="0"/>
              <w:right w:val="single" w:color="auto" w:sz="4" w:space="0"/>
            </w:tcBorders>
            <w:shd w:val="clear" w:color="auto" w:fill="auto"/>
            <w:noWrap/>
            <w:vAlign w:val="center"/>
          </w:tcPr>
          <w:p w14:paraId="45CF62B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12.3</w:t>
            </w:r>
          </w:p>
        </w:tc>
        <w:tc>
          <w:tcPr>
            <w:tcW w:w="612" w:type="pct"/>
            <w:tcBorders>
              <w:top w:val="nil"/>
              <w:left w:val="nil"/>
              <w:bottom w:val="single" w:color="auto" w:sz="4" w:space="0"/>
              <w:right w:val="single" w:color="auto" w:sz="4" w:space="0"/>
            </w:tcBorders>
            <w:shd w:val="clear" w:color="auto" w:fill="auto"/>
            <w:noWrap/>
            <w:vAlign w:val="center"/>
          </w:tcPr>
          <w:p w14:paraId="47660E8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10.6</w:t>
            </w:r>
          </w:p>
        </w:tc>
        <w:tc>
          <w:tcPr>
            <w:tcW w:w="611" w:type="pct"/>
            <w:tcBorders>
              <w:top w:val="nil"/>
              <w:left w:val="nil"/>
              <w:bottom w:val="single" w:color="auto" w:sz="4" w:space="0"/>
              <w:right w:val="single" w:color="auto" w:sz="4" w:space="0"/>
            </w:tcBorders>
            <w:shd w:val="clear" w:color="auto" w:fill="auto"/>
            <w:noWrap/>
            <w:vAlign w:val="center"/>
          </w:tcPr>
          <w:p w14:paraId="08632A2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16.2</w:t>
            </w:r>
          </w:p>
        </w:tc>
        <w:tc>
          <w:tcPr>
            <w:tcW w:w="612" w:type="pct"/>
            <w:tcBorders>
              <w:top w:val="nil"/>
              <w:left w:val="nil"/>
              <w:bottom w:val="single" w:color="auto" w:sz="4" w:space="0"/>
            </w:tcBorders>
            <w:shd w:val="clear" w:color="auto" w:fill="auto"/>
            <w:noWrap/>
            <w:vAlign w:val="center"/>
          </w:tcPr>
          <w:p w14:paraId="2ACDDDE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15.1</w:t>
            </w:r>
          </w:p>
        </w:tc>
      </w:tr>
      <w:tr w14:paraId="4FCBC2BC">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38" w:type="pct"/>
            <w:vMerge w:val="continue"/>
            <w:tcBorders>
              <w:top w:val="nil"/>
              <w:bottom w:val="single" w:color="auto" w:sz="4" w:space="0"/>
              <w:right w:val="single" w:color="auto" w:sz="4" w:space="0"/>
            </w:tcBorders>
            <w:shd w:val="clear" w:color="auto" w:fill="auto"/>
            <w:noWrap w:val="0"/>
            <w:vAlign w:val="center"/>
          </w:tcPr>
          <w:p w14:paraId="429F3371">
            <w:pPr>
              <w:pStyle w:val="17"/>
              <w:kinsoku/>
              <w:wordWrap/>
              <w:topLinePunct w:val="0"/>
              <w:autoSpaceDE/>
              <w:autoSpaceDN/>
              <w:bidi w:val="0"/>
              <w:adjustRightInd/>
              <w:snapToGrid/>
              <w:textAlignment w:val="auto"/>
              <w:rPr>
                <w:rFonts w:hint="default" w:ascii="Times New Roman" w:hAnsi="Times New Roman" w:cs="Times New Roman"/>
              </w:rPr>
            </w:pPr>
          </w:p>
        </w:tc>
        <w:tc>
          <w:tcPr>
            <w:tcW w:w="364" w:type="pct"/>
            <w:tcBorders>
              <w:top w:val="nil"/>
              <w:left w:val="nil"/>
              <w:bottom w:val="single" w:color="auto" w:sz="4" w:space="0"/>
              <w:right w:val="single" w:color="auto" w:sz="4" w:space="0"/>
            </w:tcBorders>
            <w:shd w:val="clear" w:color="auto" w:fill="auto"/>
            <w:noWrap/>
            <w:vAlign w:val="center"/>
          </w:tcPr>
          <w:p w14:paraId="3E628B5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7</w:t>
            </w:r>
          </w:p>
        </w:tc>
        <w:tc>
          <w:tcPr>
            <w:tcW w:w="885" w:type="pct"/>
            <w:tcBorders>
              <w:top w:val="nil"/>
              <w:left w:val="nil"/>
              <w:bottom w:val="single" w:color="auto" w:sz="4" w:space="0"/>
              <w:right w:val="single" w:color="auto" w:sz="4" w:space="0"/>
            </w:tcBorders>
            <w:shd w:val="clear" w:color="auto" w:fill="auto"/>
            <w:noWrap/>
            <w:vAlign w:val="center"/>
          </w:tcPr>
          <w:p w14:paraId="0C9B1B5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大马鹿沟河</w:t>
            </w:r>
          </w:p>
        </w:tc>
        <w:tc>
          <w:tcPr>
            <w:tcW w:w="763" w:type="pct"/>
            <w:tcBorders>
              <w:top w:val="nil"/>
              <w:left w:val="nil"/>
              <w:bottom w:val="single" w:color="auto" w:sz="4" w:space="0"/>
              <w:right w:val="single" w:color="auto" w:sz="4" w:space="0"/>
            </w:tcBorders>
            <w:shd w:val="clear" w:color="auto" w:fill="auto"/>
            <w:noWrap/>
            <w:vAlign w:val="center"/>
          </w:tcPr>
          <w:p w14:paraId="5F457A0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12.5</w:t>
            </w:r>
          </w:p>
        </w:tc>
        <w:tc>
          <w:tcPr>
            <w:tcW w:w="611" w:type="pct"/>
            <w:tcBorders>
              <w:top w:val="nil"/>
              <w:left w:val="nil"/>
              <w:bottom w:val="single" w:color="auto" w:sz="4" w:space="0"/>
              <w:right w:val="single" w:color="auto" w:sz="4" w:space="0"/>
            </w:tcBorders>
            <w:shd w:val="clear" w:color="auto" w:fill="auto"/>
            <w:noWrap/>
            <w:vAlign w:val="center"/>
          </w:tcPr>
          <w:p w14:paraId="3D39B60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5.4</w:t>
            </w:r>
          </w:p>
        </w:tc>
        <w:tc>
          <w:tcPr>
            <w:tcW w:w="612" w:type="pct"/>
            <w:tcBorders>
              <w:top w:val="nil"/>
              <w:left w:val="nil"/>
              <w:bottom w:val="single" w:color="auto" w:sz="4" w:space="0"/>
              <w:right w:val="single" w:color="auto" w:sz="4" w:space="0"/>
            </w:tcBorders>
            <w:shd w:val="clear" w:color="auto" w:fill="auto"/>
            <w:noWrap/>
            <w:vAlign w:val="center"/>
          </w:tcPr>
          <w:p w14:paraId="3565CEE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3.3</w:t>
            </w:r>
          </w:p>
        </w:tc>
        <w:tc>
          <w:tcPr>
            <w:tcW w:w="611" w:type="pct"/>
            <w:tcBorders>
              <w:top w:val="nil"/>
              <w:left w:val="nil"/>
              <w:bottom w:val="single" w:color="auto" w:sz="4" w:space="0"/>
              <w:right w:val="single" w:color="auto" w:sz="4" w:space="0"/>
            </w:tcBorders>
            <w:shd w:val="clear" w:color="auto" w:fill="auto"/>
            <w:noWrap/>
            <w:vAlign w:val="center"/>
          </w:tcPr>
          <w:p w14:paraId="26804D3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16.9</w:t>
            </w:r>
          </w:p>
        </w:tc>
        <w:tc>
          <w:tcPr>
            <w:tcW w:w="612" w:type="pct"/>
            <w:tcBorders>
              <w:top w:val="nil"/>
              <w:left w:val="nil"/>
              <w:bottom w:val="single" w:color="auto" w:sz="4" w:space="0"/>
            </w:tcBorders>
            <w:shd w:val="clear" w:color="auto" w:fill="auto"/>
            <w:noWrap/>
            <w:vAlign w:val="center"/>
          </w:tcPr>
          <w:p w14:paraId="5088BB3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14.0</w:t>
            </w:r>
          </w:p>
        </w:tc>
      </w:tr>
      <w:tr w14:paraId="3CFFED24">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38" w:type="pct"/>
            <w:vMerge w:val="continue"/>
            <w:tcBorders>
              <w:top w:val="nil"/>
              <w:bottom w:val="single" w:color="auto" w:sz="4" w:space="0"/>
              <w:right w:val="single" w:color="auto" w:sz="4" w:space="0"/>
            </w:tcBorders>
            <w:shd w:val="clear" w:color="auto" w:fill="auto"/>
            <w:noWrap w:val="0"/>
            <w:vAlign w:val="center"/>
          </w:tcPr>
          <w:p w14:paraId="0AA77D44">
            <w:pPr>
              <w:pStyle w:val="17"/>
              <w:kinsoku/>
              <w:wordWrap/>
              <w:topLinePunct w:val="0"/>
              <w:autoSpaceDE/>
              <w:autoSpaceDN/>
              <w:bidi w:val="0"/>
              <w:adjustRightInd/>
              <w:snapToGrid/>
              <w:textAlignment w:val="auto"/>
              <w:rPr>
                <w:rFonts w:hint="default" w:ascii="Times New Roman" w:hAnsi="Times New Roman" w:cs="Times New Roman"/>
              </w:rPr>
            </w:pPr>
          </w:p>
        </w:tc>
        <w:tc>
          <w:tcPr>
            <w:tcW w:w="364" w:type="pct"/>
            <w:tcBorders>
              <w:top w:val="nil"/>
              <w:left w:val="nil"/>
              <w:bottom w:val="single" w:color="auto" w:sz="4" w:space="0"/>
              <w:right w:val="single" w:color="auto" w:sz="4" w:space="0"/>
            </w:tcBorders>
            <w:shd w:val="clear" w:color="auto" w:fill="auto"/>
            <w:noWrap/>
            <w:vAlign w:val="center"/>
          </w:tcPr>
          <w:p w14:paraId="4D2AE3C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8</w:t>
            </w:r>
          </w:p>
        </w:tc>
        <w:tc>
          <w:tcPr>
            <w:tcW w:w="885" w:type="pct"/>
            <w:tcBorders>
              <w:top w:val="nil"/>
              <w:left w:val="nil"/>
              <w:bottom w:val="single" w:color="auto" w:sz="4" w:space="0"/>
              <w:right w:val="single" w:color="auto" w:sz="4" w:space="0"/>
            </w:tcBorders>
            <w:shd w:val="clear" w:color="auto" w:fill="auto"/>
            <w:noWrap/>
            <w:vAlign w:val="center"/>
          </w:tcPr>
          <w:p w14:paraId="05F8589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报马川沟</w:t>
            </w:r>
          </w:p>
        </w:tc>
        <w:tc>
          <w:tcPr>
            <w:tcW w:w="763" w:type="pct"/>
            <w:tcBorders>
              <w:top w:val="nil"/>
              <w:left w:val="nil"/>
              <w:bottom w:val="single" w:color="auto" w:sz="4" w:space="0"/>
              <w:right w:val="single" w:color="auto" w:sz="4" w:space="0"/>
            </w:tcBorders>
            <w:shd w:val="clear" w:color="auto" w:fill="auto"/>
            <w:noWrap/>
            <w:vAlign w:val="center"/>
          </w:tcPr>
          <w:p w14:paraId="59DC221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28.8</w:t>
            </w:r>
          </w:p>
        </w:tc>
        <w:tc>
          <w:tcPr>
            <w:tcW w:w="611" w:type="pct"/>
            <w:tcBorders>
              <w:top w:val="nil"/>
              <w:left w:val="nil"/>
              <w:bottom w:val="single" w:color="auto" w:sz="4" w:space="0"/>
              <w:right w:val="single" w:color="auto" w:sz="4" w:space="0"/>
            </w:tcBorders>
            <w:shd w:val="clear" w:color="auto" w:fill="auto"/>
            <w:noWrap/>
            <w:vAlign w:val="center"/>
          </w:tcPr>
          <w:p w14:paraId="1991FC8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8.1</w:t>
            </w:r>
          </w:p>
        </w:tc>
        <w:tc>
          <w:tcPr>
            <w:tcW w:w="612" w:type="pct"/>
            <w:tcBorders>
              <w:top w:val="nil"/>
              <w:left w:val="nil"/>
              <w:bottom w:val="single" w:color="auto" w:sz="4" w:space="0"/>
              <w:right w:val="single" w:color="auto" w:sz="4" w:space="0"/>
            </w:tcBorders>
            <w:shd w:val="clear" w:color="auto" w:fill="auto"/>
            <w:noWrap/>
            <w:vAlign w:val="center"/>
          </w:tcPr>
          <w:p w14:paraId="7F50DEB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7.2</w:t>
            </w:r>
          </w:p>
        </w:tc>
        <w:tc>
          <w:tcPr>
            <w:tcW w:w="611" w:type="pct"/>
            <w:tcBorders>
              <w:top w:val="nil"/>
              <w:left w:val="nil"/>
              <w:bottom w:val="single" w:color="auto" w:sz="4" w:space="0"/>
              <w:right w:val="single" w:color="auto" w:sz="4" w:space="0"/>
            </w:tcBorders>
            <w:shd w:val="clear" w:color="auto" w:fill="auto"/>
            <w:noWrap/>
            <w:vAlign w:val="center"/>
          </w:tcPr>
          <w:p w14:paraId="3101D35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17.3</w:t>
            </w:r>
          </w:p>
        </w:tc>
        <w:tc>
          <w:tcPr>
            <w:tcW w:w="612" w:type="pct"/>
            <w:tcBorders>
              <w:top w:val="nil"/>
              <w:left w:val="nil"/>
              <w:bottom w:val="single" w:color="auto" w:sz="4" w:space="0"/>
            </w:tcBorders>
            <w:shd w:val="clear" w:color="auto" w:fill="auto"/>
            <w:noWrap/>
            <w:vAlign w:val="center"/>
          </w:tcPr>
          <w:p w14:paraId="1187430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13.6</w:t>
            </w:r>
          </w:p>
        </w:tc>
      </w:tr>
      <w:tr w14:paraId="0B80ABE1">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38" w:type="pct"/>
            <w:vMerge w:val="continue"/>
            <w:tcBorders>
              <w:top w:val="nil"/>
              <w:bottom w:val="single" w:color="auto" w:sz="4" w:space="0"/>
              <w:right w:val="single" w:color="auto" w:sz="4" w:space="0"/>
            </w:tcBorders>
            <w:shd w:val="clear" w:color="auto" w:fill="auto"/>
            <w:noWrap w:val="0"/>
            <w:vAlign w:val="center"/>
          </w:tcPr>
          <w:p w14:paraId="0702AC55">
            <w:pPr>
              <w:pStyle w:val="17"/>
              <w:kinsoku/>
              <w:wordWrap/>
              <w:topLinePunct w:val="0"/>
              <w:autoSpaceDE/>
              <w:autoSpaceDN/>
              <w:bidi w:val="0"/>
              <w:adjustRightInd/>
              <w:snapToGrid/>
              <w:textAlignment w:val="auto"/>
              <w:rPr>
                <w:rFonts w:hint="default" w:ascii="Times New Roman" w:hAnsi="Times New Roman" w:cs="Times New Roman"/>
              </w:rPr>
            </w:pPr>
          </w:p>
        </w:tc>
        <w:tc>
          <w:tcPr>
            <w:tcW w:w="364" w:type="pct"/>
            <w:tcBorders>
              <w:top w:val="nil"/>
              <w:left w:val="nil"/>
              <w:bottom w:val="single" w:color="auto" w:sz="4" w:space="0"/>
              <w:right w:val="single" w:color="auto" w:sz="4" w:space="0"/>
            </w:tcBorders>
            <w:shd w:val="clear" w:color="auto" w:fill="auto"/>
            <w:noWrap/>
            <w:vAlign w:val="center"/>
          </w:tcPr>
          <w:p w14:paraId="25E951D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9</w:t>
            </w:r>
          </w:p>
        </w:tc>
        <w:tc>
          <w:tcPr>
            <w:tcW w:w="885" w:type="pct"/>
            <w:tcBorders>
              <w:top w:val="nil"/>
              <w:left w:val="nil"/>
              <w:bottom w:val="single" w:color="auto" w:sz="4" w:space="0"/>
              <w:right w:val="single" w:color="auto" w:sz="4" w:space="0"/>
            </w:tcBorders>
            <w:shd w:val="clear" w:color="auto" w:fill="auto"/>
            <w:noWrap/>
            <w:vAlign w:val="center"/>
          </w:tcPr>
          <w:p w14:paraId="0500059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北沟</w:t>
            </w:r>
          </w:p>
        </w:tc>
        <w:tc>
          <w:tcPr>
            <w:tcW w:w="763" w:type="pct"/>
            <w:tcBorders>
              <w:top w:val="nil"/>
              <w:left w:val="nil"/>
              <w:bottom w:val="single" w:color="auto" w:sz="4" w:space="0"/>
              <w:right w:val="single" w:color="auto" w:sz="4" w:space="0"/>
            </w:tcBorders>
            <w:shd w:val="clear" w:color="auto" w:fill="auto"/>
            <w:noWrap/>
            <w:vAlign w:val="center"/>
          </w:tcPr>
          <w:p w14:paraId="787BE6F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24.4</w:t>
            </w:r>
          </w:p>
        </w:tc>
        <w:tc>
          <w:tcPr>
            <w:tcW w:w="611" w:type="pct"/>
            <w:tcBorders>
              <w:top w:val="nil"/>
              <w:left w:val="nil"/>
              <w:bottom w:val="single" w:color="auto" w:sz="4" w:space="0"/>
              <w:right w:val="single" w:color="auto" w:sz="4" w:space="0"/>
            </w:tcBorders>
            <w:shd w:val="clear" w:color="auto" w:fill="auto"/>
            <w:noWrap/>
            <w:vAlign w:val="center"/>
          </w:tcPr>
          <w:p w14:paraId="7C112D3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10.6</w:t>
            </w:r>
          </w:p>
        </w:tc>
        <w:tc>
          <w:tcPr>
            <w:tcW w:w="612" w:type="pct"/>
            <w:tcBorders>
              <w:top w:val="nil"/>
              <w:left w:val="nil"/>
              <w:bottom w:val="single" w:color="auto" w:sz="4" w:space="0"/>
              <w:right w:val="single" w:color="auto" w:sz="4" w:space="0"/>
            </w:tcBorders>
            <w:shd w:val="clear" w:color="auto" w:fill="auto"/>
            <w:noWrap/>
            <w:vAlign w:val="center"/>
          </w:tcPr>
          <w:p w14:paraId="2FECCD9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8.8</w:t>
            </w:r>
          </w:p>
        </w:tc>
        <w:tc>
          <w:tcPr>
            <w:tcW w:w="611" w:type="pct"/>
            <w:tcBorders>
              <w:top w:val="nil"/>
              <w:left w:val="nil"/>
              <w:bottom w:val="single" w:color="auto" w:sz="4" w:space="0"/>
              <w:right w:val="single" w:color="auto" w:sz="4" w:space="0"/>
            </w:tcBorders>
            <w:shd w:val="clear" w:color="auto" w:fill="auto"/>
            <w:noWrap/>
            <w:vAlign w:val="center"/>
          </w:tcPr>
          <w:p w14:paraId="7D109ED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16.3</w:t>
            </w:r>
          </w:p>
        </w:tc>
        <w:tc>
          <w:tcPr>
            <w:tcW w:w="612" w:type="pct"/>
            <w:tcBorders>
              <w:top w:val="nil"/>
              <w:left w:val="nil"/>
              <w:bottom w:val="single" w:color="auto" w:sz="4" w:space="0"/>
            </w:tcBorders>
            <w:shd w:val="clear" w:color="auto" w:fill="auto"/>
            <w:noWrap/>
            <w:vAlign w:val="center"/>
          </w:tcPr>
          <w:p w14:paraId="5CAA619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14.0</w:t>
            </w:r>
          </w:p>
        </w:tc>
      </w:tr>
      <w:tr w14:paraId="130ABC2A">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38" w:type="pct"/>
            <w:vMerge w:val="continue"/>
            <w:tcBorders>
              <w:top w:val="nil"/>
              <w:bottom w:val="single" w:color="auto" w:sz="4" w:space="0"/>
              <w:right w:val="single" w:color="auto" w:sz="4" w:space="0"/>
            </w:tcBorders>
            <w:shd w:val="clear" w:color="auto" w:fill="auto"/>
            <w:noWrap w:val="0"/>
            <w:vAlign w:val="center"/>
          </w:tcPr>
          <w:p w14:paraId="0D5BC8ED">
            <w:pPr>
              <w:pStyle w:val="17"/>
              <w:kinsoku/>
              <w:wordWrap/>
              <w:topLinePunct w:val="0"/>
              <w:autoSpaceDE/>
              <w:autoSpaceDN/>
              <w:bidi w:val="0"/>
              <w:adjustRightInd/>
              <w:snapToGrid/>
              <w:textAlignment w:val="auto"/>
              <w:rPr>
                <w:rFonts w:hint="default" w:ascii="Times New Roman" w:hAnsi="Times New Roman" w:cs="Times New Roman"/>
              </w:rPr>
            </w:pPr>
          </w:p>
        </w:tc>
        <w:tc>
          <w:tcPr>
            <w:tcW w:w="364" w:type="pct"/>
            <w:tcBorders>
              <w:top w:val="nil"/>
              <w:left w:val="nil"/>
              <w:bottom w:val="single" w:color="auto" w:sz="4" w:space="0"/>
              <w:right w:val="single" w:color="auto" w:sz="4" w:space="0"/>
            </w:tcBorders>
            <w:shd w:val="clear" w:color="auto" w:fill="auto"/>
            <w:noWrap/>
            <w:vAlign w:val="center"/>
          </w:tcPr>
          <w:p w14:paraId="27B524C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10</w:t>
            </w:r>
          </w:p>
        </w:tc>
        <w:tc>
          <w:tcPr>
            <w:tcW w:w="885" w:type="pct"/>
            <w:tcBorders>
              <w:top w:val="nil"/>
              <w:left w:val="nil"/>
              <w:bottom w:val="single" w:color="auto" w:sz="4" w:space="0"/>
              <w:right w:val="single" w:color="auto" w:sz="4" w:space="0"/>
            </w:tcBorders>
            <w:shd w:val="clear" w:color="auto" w:fill="auto"/>
            <w:noWrap/>
            <w:vAlign w:val="center"/>
          </w:tcPr>
          <w:p w14:paraId="069ACFF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大蚊子沟河</w:t>
            </w:r>
          </w:p>
        </w:tc>
        <w:tc>
          <w:tcPr>
            <w:tcW w:w="763" w:type="pct"/>
            <w:tcBorders>
              <w:top w:val="nil"/>
              <w:left w:val="nil"/>
              <w:bottom w:val="single" w:color="auto" w:sz="4" w:space="0"/>
              <w:right w:val="single" w:color="auto" w:sz="4" w:space="0"/>
            </w:tcBorders>
            <w:shd w:val="clear" w:color="auto" w:fill="auto"/>
            <w:noWrap/>
            <w:vAlign w:val="center"/>
          </w:tcPr>
          <w:p w14:paraId="2A78A40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19.6</w:t>
            </w:r>
          </w:p>
        </w:tc>
        <w:tc>
          <w:tcPr>
            <w:tcW w:w="611" w:type="pct"/>
            <w:tcBorders>
              <w:top w:val="nil"/>
              <w:left w:val="nil"/>
              <w:bottom w:val="single" w:color="auto" w:sz="4" w:space="0"/>
              <w:right w:val="single" w:color="auto" w:sz="4" w:space="0"/>
            </w:tcBorders>
            <w:shd w:val="clear" w:color="auto" w:fill="auto"/>
            <w:noWrap/>
            <w:vAlign w:val="center"/>
          </w:tcPr>
          <w:p w14:paraId="5EF275B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8.8</w:t>
            </w:r>
          </w:p>
        </w:tc>
        <w:tc>
          <w:tcPr>
            <w:tcW w:w="612" w:type="pct"/>
            <w:tcBorders>
              <w:top w:val="nil"/>
              <w:left w:val="nil"/>
              <w:bottom w:val="single" w:color="auto" w:sz="4" w:space="0"/>
              <w:right w:val="single" w:color="auto" w:sz="4" w:space="0"/>
            </w:tcBorders>
            <w:shd w:val="clear" w:color="auto" w:fill="auto"/>
            <w:noWrap/>
            <w:vAlign w:val="center"/>
          </w:tcPr>
          <w:p w14:paraId="3A8EBC6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8.2</w:t>
            </w:r>
          </w:p>
        </w:tc>
        <w:tc>
          <w:tcPr>
            <w:tcW w:w="611" w:type="pct"/>
            <w:tcBorders>
              <w:top w:val="nil"/>
              <w:left w:val="nil"/>
              <w:bottom w:val="single" w:color="auto" w:sz="4" w:space="0"/>
              <w:right w:val="single" w:color="auto" w:sz="4" w:space="0"/>
            </w:tcBorders>
            <w:shd w:val="clear" w:color="auto" w:fill="auto"/>
            <w:noWrap/>
            <w:vAlign w:val="center"/>
          </w:tcPr>
          <w:p w14:paraId="209A7C3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21.8</w:t>
            </w:r>
          </w:p>
        </w:tc>
        <w:tc>
          <w:tcPr>
            <w:tcW w:w="612" w:type="pct"/>
            <w:tcBorders>
              <w:top w:val="nil"/>
              <w:left w:val="nil"/>
              <w:bottom w:val="single" w:color="auto" w:sz="4" w:space="0"/>
            </w:tcBorders>
            <w:shd w:val="clear" w:color="auto" w:fill="auto"/>
            <w:noWrap/>
            <w:vAlign w:val="center"/>
          </w:tcPr>
          <w:p w14:paraId="1C86134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20.3</w:t>
            </w:r>
          </w:p>
        </w:tc>
      </w:tr>
      <w:tr w14:paraId="67369594">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38" w:type="pct"/>
            <w:vMerge w:val="continue"/>
            <w:tcBorders>
              <w:top w:val="nil"/>
              <w:bottom w:val="single" w:color="auto" w:sz="4" w:space="0"/>
              <w:right w:val="single" w:color="auto" w:sz="4" w:space="0"/>
            </w:tcBorders>
            <w:shd w:val="clear" w:color="auto" w:fill="auto"/>
            <w:noWrap w:val="0"/>
            <w:vAlign w:val="center"/>
          </w:tcPr>
          <w:p w14:paraId="454E6C2F">
            <w:pPr>
              <w:pStyle w:val="17"/>
              <w:kinsoku/>
              <w:wordWrap/>
              <w:topLinePunct w:val="0"/>
              <w:autoSpaceDE/>
              <w:autoSpaceDN/>
              <w:bidi w:val="0"/>
              <w:adjustRightInd/>
              <w:snapToGrid/>
              <w:textAlignment w:val="auto"/>
              <w:rPr>
                <w:rFonts w:hint="default" w:ascii="Times New Roman" w:hAnsi="Times New Roman" w:cs="Times New Roman"/>
              </w:rPr>
            </w:pPr>
          </w:p>
        </w:tc>
        <w:tc>
          <w:tcPr>
            <w:tcW w:w="364" w:type="pct"/>
            <w:tcBorders>
              <w:top w:val="nil"/>
              <w:left w:val="nil"/>
              <w:bottom w:val="single" w:color="auto" w:sz="4" w:space="0"/>
              <w:right w:val="single" w:color="auto" w:sz="4" w:space="0"/>
            </w:tcBorders>
            <w:shd w:val="clear" w:color="auto" w:fill="auto"/>
            <w:noWrap/>
            <w:vAlign w:val="center"/>
          </w:tcPr>
          <w:p w14:paraId="7B8A225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11</w:t>
            </w:r>
          </w:p>
        </w:tc>
        <w:tc>
          <w:tcPr>
            <w:tcW w:w="885" w:type="pct"/>
            <w:tcBorders>
              <w:top w:val="nil"/>
              <w:left w:val="nil"/>
              <w:bottom w:val="single" w:color="auto" w:sz="4" w:space="0"/>
              <w:right w:val="single" w:color="auto" w:sz="4" w:space="0"/>
            </w:tcBorders>
            <w:shd w:val="clear" w:color="auto" w:fill="auto"/>
            <w:noWrap/>
            <w:vAlign w:val="center"/>
          </w:tcPr>
          <w:p w14:paraId="400D207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小西岔河</w:t>
            </w:r>
          </w:p>
        </w:tc>
        <w:tc>
          <w:tcPr>
            <w:tcW w:w="763" w:type="pct"/>
            <w:tcBorders>
              <w:top w:val="nil"/>
              <w:left w:val="nil"/>
              <w:bottom w:val="single" w:color="auto" w:sz="4" w:space="0"/>
              <w:right w:val="single" w:color="auto" w:sz="4" w:space="0"/>
            </w:tcBorders>
            <w:shd w:val="clear" w:color="auto" w:fill="auto"/>
            <w:noWrap/>
            <w:vAlign w:val="center"/>
          </w:tcPr>
          <w:p w14:paraId="4FD0B01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17.1</w:t>
            </w:r>
          </w:p>
        </w:tc>
        <w:tc>
          <w:tcPr>
            <w:tcW w:w="611" w:type="pct"/>
            <w:tcBorders>
              <w:top w:val="nil"/>
              <w:left w:val="nil"/>
              <w:bottom w:val="single" w:color="auto" w:sz="4" w:space="0"/>
              <w:right w:val="single" w:color="auto" w:sz="4" w:space="0"/>
            </w:tcBorders>
            <w:shd w:val="clear" w:color="auto" w:fill="auto"/>
            <w:noWrap/>
            <w:vAlign w:val="center"/>
          </w:tcPr>
          <w:p w14:paraId="6B567A5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9.8</w:t>
            </w:r>
          </w:p>
        </w:tc>
        <w:tc>
          <w:tcPr>
            <w:tcW w:w="612" w:type="pct"/>
            <w:tcBorders>
              <w:top w:val="nil"/>
              <w:left w:val="nil"/>
              <w:bottom w:val="single" w:color="auto" w:sz="4" w:space="0"/>
              <w:right w:val="single" w:color="auto" w:sz="4" w:space="0"/>
            </w:tcBorders>
            <w:shd w:val="clear" w:color="auto" w:fill="auto"/>
            <w:noWrap/>
            <w:vAlign w:val="center"/>
          </w:tcPr>
          <w:p w14:paraId="2BB94C5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7.8</w:t>
            </w:r>
          </w:p>
        </w:tc>
        <w:tc>
          <w:tcPr>
            <w:tcW w:w="611" w:type="pct"/>
            <w:tcBorders>
              <w:top w:val="nil"/>
              <w:left w:val="nil"/>
              <w:bottom w:val="single" w:color="auto" w:sz="4" w:space="0"/>
              <w:right w:val="single" w:color="auto" w:sz="4" w:space="0"/>
            </w:tcBorders>
            <w:shd w:val="clear" w:color="auto" w:fill="auto"/>
            <w:noWrap/>
            <w:vAlign w:val="center"/>
          </w:tcPr>
          <w:p w14:paraId="09601A1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22.4</w:t>
            </w:r>
          </w:p>
        </w:tc>
        <w:tc>
          <w:tcPr>
            <w:tcW w:w="612" w:type="pct"/>
            <w:tcBorders>
              <w:top w:val="nil"/>
              <w:left w:val="nil"/>
              <w:bottom w:val="single" w:color="auto" w:sz="4" w:space="0"/>
            </w:tcBorders>
            <w:shd w:val="clear" w:color="auto" w:fill="auto"/>
            <w:noWrap/>
            <w:vAlign w:val="center"/>
          </w:tcPr>
          <w:p w14:paraId="6079235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17.5</w:t>
            </w:r>
          </w:p>
        </w:tc>
      </w:tr>
      <w:tr w14:paraId="220B8FB0">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38" w:type="pct"/>
            <w:vMerge w:val="restart"/>
            <w:tcBorders>
              <w:top w:val="nil"/>
              <w:bottom w:val="single" w:color="000000" w:sz="8" w:space="0"/>
              <w:right w:val="single" w:color="auto" w:sz="4" w:space="0"/>
            </w:tcBorders>
            <w:shd w:val="clear" w:color="auto" w:fill="auto"/>
            <w:noWrap/>
            <w:vAlign w:val="center"/>
          </w:tcPr>
          <w:p w14:paraId="0DB898E7">
            <w:pPr>
              <w:pStyle w:val="17"/>
              <w:kinsoku/>
              <w:wordWrap/>
              <w:topLinePunct w:val="0"/>
              <w:autoSpaceDE/>
              <w:autoSpaceDN/>
              <w:bidi w:val="0"/>
              <w:adjustRightInd/>
              <w:snapToGrid/>
              <w:textAlignment w:val="auto"/>
              <w:rPr>
                <w:rFonts w:hint="default" w:ascii="Times New Roman" w:hAnsi="Times New Roman" w:eastAsia="宋体" w:cs="Times New Roman"/>
                <w:lang w:val="en-US" w:eastAsia="zh-CN"/>
              </w:rPr>
            </w:pPr>
            <w:r>
              <w:rPr>
                <w:rFonts w:hint="eastAsia" w:cs="Times New Roman"/>
                <w:lang w:val="en-US" w:eastAsia="zh-CN"/>
              </w:rPr>
              <w:t>YLJ</w:t>
            </w:r>
          </w:p>
        </w:tc>
        <w:tc>
          <w:tcPr>
            <w:tcW w:w="364" w:type="pct"/>
            <w:tcBorders>
              <w:top w:val="nil"/>
              <w:left w:val="nil"/>
              <w:bottom w:val="single" w:color="auto" w:sz="4" w:space="0"/>
              <w:right w:val="single" w:color="auto" w:sz="4" w:space="0"/>
            </w:tcBorders>
            <w:shd w:val="clear" w:color="auto" w:fill="auto"/>
            <w:noWrap/>
            <w:vAlign w:val="center"/>
          </w:tcPr>
          <w:p w14:paraId="5E2E5C5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12</w:t>
            </w:r>
          </w:p>
        </w:tc>
        <w:tc>
          <w:tcPr>
            <w:tcW w:w="885" w:type="pct"/>
            <w:tcBorders>
              <w:top w:val="nil"/>
              <w:left w:val="nil"/>
              <w:bottom w:val="single" w:color="auto" w:sz="4" w:space="0"/>
              <w:right w:val="single" w:color="auto" w:sz="4" w:space="0"/>
            </w:tcBorders>
            <w:shd w:val="clear" w:color="auto" w:fill="auto"/>
            <w:noWrap/>
            <w:vAlign w:val="center"/>
          </w:tcPr>
          <w:p w14:paraId="17ADF3E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浑江</w:t>
            </w:r>
          </w:p>
        </w:tc>
        <w:tc>
          <w:tcPr>
            <w:tcW w:w="763" w:type="pct"/>
            <w:tcBorders>
              <w:top w:val="nil"/>
              <w:left w:val="nil"/>
              <w:bottom w:val="single" w:color="auto" w:sz="4" w:space="0"/>
              <w:right w:val="single" w:color="auto" w:sz="4" w:space="0"/>
            </w:tcBorders>
            <w:shd w:val="clear" w:color="auto" w:fill="auto"/>
            <w:noWrap/>
            <w:vAlign w:val="center"/>
          </w:tcPr>
          <w:p w14:paraId="640D2AD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626.0</w:t>
            </w:r>
          </w:p>
        </w:tc>
        <w:tc>
          <w:tcPr>
            <w:tcW w:w="611" w:type="pct"/>
            <w:tcBorders>
              <w:top w:val="nil"/>
              <w:left w:val="nil"/>
              <w:bottom w:val="single" w:color="auto" w:sz="4" w:space="0"/>
              <w:right w:val="single" w:color="auto" w:sz="4" w:space="0"/>
            </w:tcBorders>
            <w:shd w:val="clear" w:color="auto" w:fill="auto"/>
            <w:noWrap/>
            <w:vAlign w:val="center"/>
          </w:tcPr>
          <w:p w14:paraId="54F733E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44.3</w:t>
            </w:r>
          </w:p>
        </w:tc>
        <w:tc>
          <w:tcPr>
            <w:tcW w:w="612" w:type="pct"/>
            <w:tcBorders>
              <w:top w:val="nil"/>
              <w:left w:val="nil"/>
              <w:bottom w:val="single" w:color="auto" w:sz="4" w:space="0"/>
              <w:right w:val="single" w:color="auto" w:sz="4" w:space="0"/>
            </w:tcBorders>
            <w:shd w:val="clear" w:color="auto" w:fill="auto"/>
            <w:noWrap/>
            <w:vAlign w:val="center"/>
          </w:tcPr>
          <w:p w14:paraId="6A74E07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42.1</w:t>
            </w:r>
          </w:p>
        </w:tc>
        <w:tc>
          <w:tcPr>
            <w:tcW w:w="611" w:type="pct"/>
            <w:tcBorders>
              <w:top w:val="nil"/>
              <w:left w:val="nil"/>
              <w:bottom w:val="single" w:color="auto" w:sz="4" w:space="0"/>
              <w:right w:val="single" w:color="auto" w:sz="4" w:space="0"/>
            </w:tcBorders>
            <w:shd w:val="clear" w:color="auto" w:fill="auto"/>
            <w:noWrap/>
            <w:vAlign w:val="center"/>
          </w:tcPr>
          <w:p w14:paraId="4CD2A08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2.7</w:t>
            </w:r>
          </w:p>
        </w:tc>
        <w:tc>
          <w:tcPr>
            <w:tcW w:w="612" w:type="pct"/>
            <w:tcBorders>
              <w:top w:val="nil"/>
              <w:left w:val="nil"/>
              <w:bottom w:val="single" w:color="auto" w:sz="4" w:space="0"/>
            </w:tcBorders>
            <w:shd w:val="clear" w:color="auto" w:fill="auto"/>
            <w:noWrap/>
            <w:vAlign w:val="center"/>
          </w:tcPr>
          <w:p w14:paraId="3AF7F1F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2.6</w:t>
            </w:r>
          </w:p>
        </w:tc>
      </w:tr>
      <w:tr w14:paraId="181D6D7A">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38" w:type="pct"/>
            <w:vMerge w:val="continue"/>
            <w:tcBorders>
              <w:top w:val="nil"/>
              <w:bottom w:val="single" w:color="000000" w:sz="8" w:space="0"/>
              <w:right w:val="single" w:color="auto" w:sz="4" w:space="0"/>
            </w:tcBorders>
            <w:shd w:val="clear" w:color="auto" w:fill="auto"/>
            <w:noWrap w:val="0"/>
            <w:vAlign w:val="center"/>
          </w:tcPr>
          <w:p w14:paraId="428BEA07">
            <w:pPr>
              <w:pStyle w:val="17"/>
              <w:kinsoku/>
              <w:wordWrap/>
              <w:topLinePunct w:val="0"/>
              <w:autoSpaceDE/>
              <w:autoSpaceDN/>
              <w:bidi w:val="0"/>
              <w:adjustRightInd/>
              <w:snapToGrid/>
              <w:textAlignment w:val="auto"/>
              <w:rPr>
                <w:rFonts w:hint="default" w:ascii="Times New Roman" w:hAnsi="Times New Roman" w:cs="Times New Roman"/>
              </w:rPr>
            </w:pPr>
          </w:p>
        </w:tc>
        <w:tc>
          <w:tcPr>
            <w:tcW w:w="364" w:type="pct"/>
            <w:tcBorders>
              <w:top w:val="nil"/>
              <w:left w:val="nil"/>
              <w:bottom w:val="single" w:color="auto" w:sz="4" w:space="0"/>
              <w:right w:val="single" w:color="auto" w:sz="4" w:space="0"/>
            </w:tcBorders>
            <w:shd w:val="clear" w:color="auto" w:fill="auto"/>
            <w:noWrap/>
            <w:vAlign w:val="center"/>
          </w:tcPr>
          <w:p w14:paraId="6903DA8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13</w:t>
            </w:r>
          </w:p>
        </w:tc>
        <w:tc>
          <w:tcPr>
            <w:tcW w:w="885" w:type="pct"/>
            <w:tcBorders>
              <w:top w:val="nil"/>
              <w:left w:val="nil"/>
              <w:bottom w:val="single" w:color="auto" w:sz="4" w:space="0"/>
              <w:right w:val="single" w:color="auto" w:sz="4" w:space="0"/>
            </w:tcBorders>
            <w:shd w:val="clear" w:color="auto" w:fill="auto"/>
            <w:noWrap/>
            <w:vAlign w:val="center"/>
          </w:tcPr>
          <w:p w14:paraId="6F9E630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红土崖河</w:t>
            </w:r>
          </w:p>
        </w:tc>
        <w:tc>
          <w:tcPr>
            <w:tcW w:w="763" w:type="pct"/>
            <w:tcBorders>
              <w:top w:val="nil"/>
              <w:left w:val="nil"/>
              <w:bottom w:val="single" w:color="auto" w:sz="4" w:space="0"/>
              <w:right w:val="single" w:color="auto" w:sz="4" w:space="0"/>
            </w:tcBorders>
            <w:shd w:val="clear" w:color="auto" w:fill="auto"/>
            <w:noWrap/>
            <w:vAlign w:val="center"/>
          </w:tcPr>
          <w:p w14:paraId="388C3C9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587.0</w:t>
            </w:r>
          </w:p>
        </w:tc>
        <w:tc>
          <w:tcPr>
            <w:tcW w:w="611" w:type="pct"/>
            <w:tcBorders>
              <w:top w:val="nil"/>
              <w:left w:val="nil"/>
              <w:bottom w:val="single" w:color="auto" w:sz="4" w:space="0"/>
              <w:right w:val="single" w:color="auto" w:sz="4" w:space="0"/>
            </w:tcBorders>
            <w:shd w:val="clear" w:color="auto" w:fill="auto"/>
            <w:noWrap/>
            <w:vAlign w:val="center"/>
          </w:tcPr>
          <w:p w14:paraId="15BABB5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58.0</w:t>
            </w:r>
          </w:p>
        </w:tc>
        <w:tc>
          <w:tcPr>
            <w:tcW w:w="612" w:type="pct"/>
            <w:tcBorders>
              <w:top w:val="nil"/>
              <w:left w:val="nil"/>
              <w:bottom w:val="single" w:color="auto" w:sz="4" w:space="0"/>
              <w:right w:val="single" w:color="auto" w:sz="4" w:space="0"/>
            </w:tcBorders>
            <w:shd w:val="clear" w:color="auto" w:fill="auto"/>
            <w:noWrap/>
            <w:vAlign w:val="center"/>
          </w:tcPr>
          <w:p w14:paraId="138961F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59.9</w:t>
            </w:r>
          </w:p>
        </w:tc>
        <w:tc>
          <w:tcPr>
            <w:tcW w:w="611" w:type="pct"/>
            <w:tcBorders>
              <w:top w:val="nil"/>
              <w:left w:val="nil"/>
              <w:bottom w:val="single" w:color="auto" w:sz="4" w:space="0"/>
              <w:right w:val="single" w:color="auto" w:sz="4" w:space="0"/>
            </w:tcBorders>
            <w:shd w:val="clear" w:color="auto" w:fill="auto"/>
            <w:noWrap/>
            <w:vAlign w:val="center"/>
          </w:tcPr>
          <w:p w14:paraId="123B3B7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4.1</w:t>
            </w:r>
          </w:p>
        </w:tc>
        <w:tc>
          <w:tcPr>
            <w:tcW w:w="612" w:type="pct"/>
            <w:tcBorders>
              <w:top w:val="nil"/>
              <w:left w:val="nil"/>
              <w:bottom w:val="single" w:color="auto" w:sz="4" w:space="0"/>
            </w:tcBorders>
            <w:shd w:val="clear" w:color="auto" w:fill="auto"/>
            <w:noWrap/>
            <w:vAlign w:val="center"/>
          </w:tcPr>
          <w:p w14:paraId="1F86261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4.0</w:t>
            </w:r>
          </w:p>
        </w:tc>
      </w:tr>
      <w:tr w14:paraId="414F3D83">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38" w:type="pct"/>
            <w:vMerge w:val="continue"/>
            <w:tcBorders>
              <w:top w:val="nil"/>
              <w:bottom w:val="single" w:color="000000" w:sz="8" w:space="0"/>
              <w:right w:val="single" w:color="auto" w:sz="4" w:space="0"/>
            </w:tcBorders>
            <w:shd w:val="clear" w:color="auto" w:fill="auto"/>
            <w:noWrap w:val="0"/>
            <w:vAlign w:val="center"/>
          </w:tcPr>
          <w:p w14:paraId="5AC97219">
            <w:pPr>
              <w:pStyle w:val="17"/>
              <w:kinsoku/>
              <w:wordWrap/>
              <w:topLinePunct w:val="0"/>
              <w:autoSpaceDE/>
              <w:autoSpaceDN/>
              <w:bidi w:val="0"/>
              <w:adjustRightInd/>
              <w:snapToGrid/>
              <w:textAlignment w:val="auto"/>
              <w:rPr>
                <w:rFonts w:hint="default" w:ascii="Times New Roman" w:hAnsi="Times New Roman" w:cs="Times New Roman"/>
              </w:rPr>
            </w:pPr>
          </w:p>
        </w:tc>
        <w:tc>
          <w:tcPr>
            <w:tcW w:w="364" w:type="pct"/>
            <w:tcBorders>
              <w:top w:val="nil"/>
              <w:left w:val="nil"/>
              <w:bottom w:val="single" w:color="auto" w:sz="4" w:space="0"/>
              <w:right w:val="single" w:color="auto" w:sz="4" w:space="0"/>
            </w:tcBorders>
            <w:shd w:val="clear" w:color="auto" w:fill="auto"/>
            <w:noWrap/>
            <w:vAlign w:val="center"/>
          </w:tcPr>
          <w:p w14:paraId="3675F86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14</w:t>
            </w:r>
          </w:p>
        </w:tc>
        <w:tc>
          <w:tcPr>
            <w:tcW w:w="885" w:type="pct"/>
            <w:tcBorders>
              <w:top w:val="nil"/>
              <w:left w:val="nil"/>
              <w:bottom w:val="single" w:color="auto" w:sz="4" w:space="0"/>
              <w:right w:val="single" w:color="auto" w:sz="4" w:space="0"/>
            </w:tcBorders>
            <w:shd w:val="clear" w:color="auto" w:fill="auto"/>
            <w:noWrap/>
            <w:vAlign w:val="center"/>
          </w:tcPr>
          <w:p w14:paraId="69DBC58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大阳岔河</w:t>
            </w:r>
          </w:p>
        </w:tc>
        <w:tc>
          <w:tcPr>
            <w:tcW w:w="763" w:type="pct"/>
            <w:tcBorders>
              <w:top w:val="nil"/>
              <w:left w:val="nil"/>
              <w:bottom w:val="single" w:color="auto" w:sz="4" w:space="0"/>
              <w:right w:val="single" w:color="auto" w:sz="4" w:space="0"/>
            </w:tcBorders>
            <w:shd w:val="clear" w:color="auto" w:fill="auto"/>
            <w:noWrap/>
            <w:vAlign w:val="center"/>
          </w:tcPr>
          <w:p w14:paraId="264ADD3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193.0</w:t>
            </w:r>
          </w:p>
        </w:tc>
        <w:tc>
          <w:tcPr>
            <w:tcW w:w="611" w:type="pct"/>
            <w:tcBorders>
              <w:top w:val="nil"/>
              <w:left w:val="nil"/>
              <w:bottom w:val="single" w:color="auto" w:sz="4" w:space="0"/>
              <w:right w:val="single" w:color="auto" w:sz="4" w:space="0"/>
            </w:tcBorders>
            <w:shd w:val="clear" w:color="auto" w:fill="auto"/>
            <w:noWrap/>
            <w:vAlign w:val="center"/>
          </w:tcPr>
          <w:p w14:paraId="7AF0840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24.7</w:t>
            </w:r>
          </w:p>
        </w:tc>
        <w:tc>
          <w:tcPr>
            <w:tcW w:w="612" w:type="pct"/>
            <w:tcBorders>
              <w:top w:val="nil"/>
              <w:left w:val="nil"/>
              <w:bottom w:val="single" w:color="auto" w:sz="4" w:space="0"/>
              <w:right w:val="single" w:color="auto" w:sz="4" w:space="0"/>
            </w:tcBorders>
            <w:shd w:val="clear" w:color="auto" w:fill="auto"/>
            <w:noWrap/>
            <w:vAlign w:val="center"/>
          </w:tcPr>
          <w:p w14:paraId="66C4172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23.5</w:t>
            </w:r>
          </w:p>
        </w:tc>
        <w:tc>
          <w:tcPr>
            <w:tcW w:w="611" w:type="pct"/>
            <w:tcBorders>
              <w:top w:val="nil"/>
              <w:left w:val="nil"/>
              <w:bottom w:val="single" w:color="auto" w:sz="4" w:space="0"/>
              <w:right w:val="single" w:color="auto" w:sz="4" w:space="0"/>
            </w:tcBorders>
            <w:shd w:val="clear" w:color="auto" w:fill="auto"/>
            <w:noWrap/>
            <w:vAlign w:val="center"/>
          </w:tcPr>
          <w:p w14:paraId="25274FC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10.0</w:t>
            </w:r>
          </w:p>
        </w:tc>
        <w:tc>
          <w:tcPr>
            <w:tcW w:w="612" w:type="pct"/>
            <w:tcBorders>
              <w:top w:val="nil"/>
              <w:left w:val="nil"/>
              <w:bottom w:val="single" w:color="auto" w:sz="4" w:space="0"/>
            </w:tcBorders>
            <w:shd w:val="clear" w:color="auto" w:fill="auto"/>
            <w:noWrap/>
            <w:vAlign w:val="center"/>
          </w:tcPr>
          <w:p w14:paraId="4711E72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9.3</w:t>
            </w:r>
          </w:p>
        </w:tc>
      </w:tr>
      <w:tr w14:paraId="4C1B48C0">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38" w:type="pct"/>
            <w:vMerge w:val="continue"/>
            <w:tcBorders>
              <w:top w:val="nil"/>
              <w:bottom w:val="single" w:color="000000" w:sz="8" w:space="0"/>
              <w:right w:val="single" w:color="auto" w:sz="4" w:space="0"/>
            </w:tcBorders>
            <w:shd w:val="clear" w:color="auto" w:fill="auto"/>
            <w:noWrap w:val="0"/>
            <w:vAlign w:val="center"/>
          </w:tcPr>
          <w:p w14:paraId="499698DB">
            <w:pPr>
              <w:pStyle w:val="17"/>
              <w:kinsoku/>
              <w:wordWrap/>
              <w:topLinePunct w:val="0"/>
              <w:autoSpaceDE/>
              <w:autoSpaceDN/>
              <w:bidi w:val="0"/>
              <w:adjustRightInd/>
              <w:snapToGrid/>
              <w:textAlignment w:val="auto"/>
              <w:rPr>
                <w:rFonts w:hint="default" w:ascii="Times New Roman" w:hAnsi="Times New Roman" w:cs="Times New Roman"/>
              </w:rPr>
            </w:pPr>
          </w:p>
        </w:tc>
        <w:tc>
          <w:tcPr>
            <w:tcW w:w="364" w:type="pct"/>
            <w:tcBorders>
              <w:top w:val="nil"/>
              <w:left w:val="nil"/>
              <w:bottom w:val="single" w:color="auto" w:sz="4" w:space="0"/>
              <w:right w:val="single" w:color="auto" w:sz="4" w:space="0"/>
            </w:tcBorders>
            <w:shd w:val="clear" w:color="auto" w:fill="auto"/>
            <w:noWrap/>
            <w:vAlign w:val="center"/>
          </w:tcPr>
          <w:p w14:paraId="09E8CFD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15</w:t>
            </w:r>
          </w:p>
        </w:tc>
        <w:tc>
          <w:tcPr>
            <w:tcW w:w="885" w:type="pct"/>
            <w:tcBorders>
              <w:top w:val="nil"/>
              <w:left w:val="nil"/>
              <w:bottom w:val="single" w:color="auto" w:sz="4" w:space="0"/>
              <w:right w:val="single" w:color="auto" w:sz="4" w:space="0"/>
            </w:tcBorders>
            <w:shd w:val="clear" w:color="auto" w:fill="auto"/>
            <w:noWrap/>
            <w:vAlign w:val="center"/>
          </w:tcPr>
          <w:p w14:paraId="06D24C9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石人河</w:t>
            </w:r>
          </w:p>
        </w:tc>
        <w:tc>
          <w:tcPr>
            <w:tcW w:w="763" w:type="pct"/>
            <w:tcBorders>
              <w:top w:val="nil"/>
              <w:left w:val="nil"/>
              <w:bottom w:val="single" w:color="auto" w:sz="4" w:space="0"/>
              <w:right w:val="single" w:color="auto" w:sz="4" w:space="0"/>
            </w:tcBorders>
            <w:shd w:val="clear" w:color="auto" w:fill="auto"/>
            <w:noWrap/>
            <w:vAlign w:val="center"/>
          </w:tcPr>
          <w:p w14:paraId="7BE45A7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191.0</w:t>
            </w:r>
          </w:p>
        </w:tc>
        <w:tc>
          <w:tcPr>
            <w:tcW w:w="611" w:type="pct"/>
            <w:tcBorders>
              <w:top w:val="nil"/>
              <w:left w:val="nil"/>
              <w:bottom w:val="single" w:color="auto" w:sz="4" w:space="0"/>
              <w:right w:val="single" w:color="auto" w:sz="4" w:space="0"/>
            </w:tcBorders>
            <w:shd w:val="clear" w:color="auto" w:fill="auto"/>
            <w:noWrap/>
            <w:vAlign w:val="center"/>
          </w:tcPr>
          <w:p w14:paraId="05CA735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25.4</w:t>
            </w:r>
          </w:p>
        </w:tc>
        <w:tc>
          <w:tcPr>
            <w:tcW w:w="612" w:type="pct"/>
            <w:tcBorders>
              <w:top w:val="nil"/>
              <w:left w:val="nil"/>
              <w:bottom w:val="single" w:color="auto" w:sz="4" w:space="0"/>
              <w:right w:val="single" w:color="auto" w:sz="4" w:space="0"/>
            </w:tcBorders>
            <w:shd w:val="clear" w:color="auto" w:fill="auto"/>
            <w:noWrap/>
            <w:vAlign w:val="center"/>
          </w:tcPr>
          <w:p w14:paraId="001B1DE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23.8</w:t>
            </w:r>
          </w:p>
        </w:tc>
        <w:tc>
          <w:tcPr>
            <w:tcW w:w="611" w:type="pct"/>
            <w:tcBorders>
              <w:top w:val="nil"/>
              <w:left w:val="nil"/>
              <w:bottom w:val="single" w:color="auto" w:sz="4" w:space="0"/>
              <w:right w:val="single" w:color="auto" w:sz="4" w:space="0"/>
            </w:tcBorders>
            <w:shd w:val="clear" w:color="auto" w:fill="auto"/>
            <w:noWrap/>
            <w:vAlign w:val="center"/>
          </w:tcPr>
          <w:p w14:paraId="395AFB3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12.6</w:t>
            </w:r>
          </w:p>
        </w:tc>
        <w:tc>
          <w:tcPr>
            <w:tcW w:w="612" w:type="pct"/>
            <w:tcBorders>
              <w:top w:val="nil"/>
              <w:left w:val="nil"/>
              <w:bottom w:val="single" w:color="auto" w:sz="4" w:space="0"/>
            </w:tcBorders>
            <w:shd w:val="clear" w:color="auto" w:fill="auto"/>
            <w:noWrap/>
            <w:vAlign w:val="center"/>
          </w:tcPr>
          <w:p w14:paraId="74A382F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11.3</w:t>
            </w:r>
          </w:p>
        </w:tc>
      </w:tr>
      <w:tr w14:paraId="25E293E0">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38" w:type="pct"/>
            <w:vMerge w:val="continue"/>
            <w:tcBorders>
              <w:top w:val="nil"/>
              <w:bottom w:val="single" w:color="000000" w:sz="8" w:space="0"/>
              <w:right w:val="single" w:color="auto" w:sz="4" w:space="0"/>
            </w:tcBorders>
            <w:shd w:val="clear" w:color="auto" w:fill="auto"/>
            <w:noWrap w:val="0"/>
            <w:vAlign w:val="center"/>
          </w:tcPr>
          <w:p w14:paraId="77BB7C13">
            <w:pPr>
              <w:pStyle w:val="17"/>
              <w:kinsoku/>
              <w:wordWrap/>
              <w:topLinePunct w:val="0"/>
              <w:autoSpaceDE/>
              <w:autoSpaceDN/>
              <w:bidi w:val="0"/>
              <w:adjustRightInd/>
              <w:snapToGrid/>
              <w:textAlignment w:val="auto"/>
              <w:rPr>
                <w:rFonts w:hint="default" w:ascii="Times New Roman" w:hAnsi="Times New Roman" w:cs="Times New Roman"/>
              </w:rPr>
            </w:pPr>
          </w:p>
        </w:tc>
        <w:tc>
          <w:tcPr>
            <w:tcW w:w="364" w:type="pct"/>
            <w:tcBorders>
              <w:top w:val="nil"/>
              <w:left w:val="nil"/>
              <w:bottom w:val="single" w:color="auto" w:sz="4" w:space="0"/>
              <w:right w:val="single" w:color="auto" w:sz="4" w:space="0"/>
            </w:tcBorders>
            <w:shd w:val="clear" w:color="auto" w:fill="auto"/>
            <w:noWrap/>
            <w:vAlign w:val="center"/>
          </w:tcPr>
          <w:p w14:paraId="4B9F966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16</w:t>
            </w:r>
          </w:p>
        </w:tc>
        <w:tc>
          <w:tcPr>
            <w:tcW w:w="885" w:type="pct"/>
            <w:tcBorders>
              <w:top w:val="nil"/>
              <w:left w:val="nil"/>
              <w:bottom w:val="single" w:color="auto" w:sz="4" w:space="0"/>
              <w:right w:val="single" w:color="auto" w:sz="4" w:space="0"/>
            </w:tcBorders>
            <w:shd w:val="clear" w:color="auto" w:fill="auto"/>
            <w:noWrap/>
            <w:vAlign w:val="center"/>
          </w:tcPr>
          <w:p w14:paraId="7891F51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西南岔河</w:t>
            </w:r>
          </w:p>
        </w:tc>
        <w:tc>
          <w:tcPr>
            <w:tcW w:w="763" w:type="pct"/>
            <w:tcBorders>
              <w:top w:val="nil"/>
              <w:left w:val="nil"/>
              <w:bottom w:val="single" w:color="auto" w:sz="4" w:space="0"/>
              <w:right w:val="single" w:color="auto" w:sz="4" w:space="0"/>
            </w:tcBorders>
            <w:shd w:val="clear" w:color="auto" w:fill="auto"/>
            <w:noWrap/>
            <w:vAlign w:val="center"/>
          </w:tcPr>
          <w:p w14:paraId="1F79CB6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96.6</w:t>
            </w:r>
          </w:p>
        </w:tc>
        <w:tc>
          <w:tcPr>
            <w:tcW w:w="611" w:type="pct"/>
            <w:tcBorders>
              <w:top w:val="nil"/>
              <w:left w:val="nil"/>
              <w:bottom w:val="single" w:color="auto" w:sz="4" w:space="0"/>
              <w:right w:val="single" w:color="auto" w:sz="4" w:space="0"/>
            </w:tcBorders>
            <w:shd w:val="clear" w:color="auto" w:fill="auto"/>
            <w:noWrap/>
            <w:vAlign w:val="center"/>
          </w:tcPr>
          <w:p w14:paraId="2100C55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18.8</w:t>
            </w:r>
          </w:p>
        </w:tc>
        <w:tc>
          <w:tcPr>
            <w:tcW w:w="612" w:type="pct"/>
            <w:tcBorders>
              <w:top w:val="nil"/>
              <w:left w:val="nil"/>
              <w:bottom w:val="single" w:color="auto" w:sz="4" w:space="0"/>
              <w:right w:val="single" w:color="auto" w:sz="4" w:space="0"/>
            </w:tcBorders>
            <w:shd w:val="clear" w:color="auto" w:fill="auto"/>
            <w:noWrap/>
            <w:vAlign w:val="center"/>
          </w:tcPr>
          <w:p w14:paraId="5BDF5C8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17.8</w:t>
            </w:r>
          </w:p>
        </w:tc>
        <w:tc>
          <w:tcPr>
            <w:tcW w:w="611" w:type="pct"/>
            <w:tcBorders>
              <w:top w:val="nil"/>
              <w:left w:val="nil"/>
              <w:bottom w:val="single" w:color="auto" w:sz="4" w:space="0"/>
              <w:right w:val="single" w:color="auto" w:sz="4" w:space="0"/>
            </w:tcBorders>
            <w:shd w:val="clear" w:color="auto" w:fill="auto"/>
            <w:noWrap/>
            <w:vAlign w:val="center"/>
          </w:tcPr>
          <w:p w14:paraId="5A4E5BB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10.2</w:t>
            </w:r>
          </w:p>
        </w:tc>
        <w:tc>
          <w:tcPr>
            <w:tcW w:w="612" w:type="pct"/>
            <w:tcBorders>
              <w:top w:val="nil"/>
              <w:left w:val="nil"/>
              <w:bottom w:val="single" w:color="auto" w:sz="4" w:space="0"/>
            </w:tcBorders>
            <w:shd w:val="clear" w:color="auto" w:fill="auto"/>
            <w:noWrap/>
            <w:vAlign w:val="center"/>
          </w:tcPr>
          <w:p w14:paraId="176A8E6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9.5</w:t>
            </w:r>
          </w:p>
        </w:tc>
      </w:tr>
      <w:tr w14:paraId="2CEF6E99">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38" w:type="pct"/>
            <w:vMerge w:val="continue"/>
            <w:tcBorders>
              <w:top w:val="nil"/>
              <w:bottom w:val="single" w:color="000000" w:sz="8" w:space="0"/>
              <w:right w:val="single" w:color="auto" w:sz="4" w:space="0"/>
            </w:tcBorders>
            <w:shd w:val="clear" w:color="auto" w:fill="auto"/>
            <w:noWrap w:val="0"/>
            <w:vAlign w:val="center"/>
          </w:tcPr>
          <w:p w14:paraId="359A0105">
            <w:pPr>
              <w:pStyle w:val="17"/>
              <w:kinsoku/>
              <w:wordWrap/>
              <w:topLinePunct w:val="0"/>
              <w:autoSpaceDE/>
              <w:autoSpaceDN/>
              <w:bidi w:val="0"/>
              <w:adjustRightInd/>
              <w:snapToGrid/>
              <w:textAlignment w:val="auto"/>
              <w:rPr>
                <w:rFonts w:hint="default" w:ascii="Times New Roman" w:hAnsi="Times New Roman" w:cs="Times New Roman"/>
              </w:rPr>
            </w:pPr>
          </w:p>
        </w:tc>
        <w:tc>
          <w:tcPr>
            <w:tcW w:w="364" w:type="pct"/>
            <w:tcBorders>
              <w:top w:val="nil"/>
              <w:left w:val="nil"/>
              <w:bottom w:val="single" w:color="auto" w:sz="4" w:space="0"/>
              <w:right w:val="single" w:color="auto" w:sz="4" w:space="0"/>
            </w:tcBorders>
            <w:shd w:val="clear" w:color="auto" w:fill="auto"/>
            <w:noWrap/>
            <w:vAlign w:val="center"/>
          </w:tcPr>
          <w:p w14:paraId="2F6D1F8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17</w:t>
            </w:r>
          </w:p>
        </w:tc>
        <w:tc>
          <w:tcPr>
            <w:tcW w:w="885" w:type="pct"/>
            <w:tcBorders>
              <w:top w:val="nil"/>
              <w:left w:val="nil"/>
              <w:bottom w:val="single" w:color="auto" w:sz="4" w:space="0"/>
              <w:right w:val="single" w:color="auto" w:sz="4" w:space="0"/>
            </w:tcBorders>
            <w:shd w:val="clear" w:color="auto" w:fill="auto"/>
            <w:noWrap/>
            <w:vAlign w:val="center"/>
          </w:tcPr>
          <w:p w14:paraId="5DAE095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金龙河</w:t>
            </w:r>
          </w:p>
        </w:tc>
        <w:tc>
          <w:tcPr>
            <w:tcW w:w="763" w:type="pct"/>
            <w:tcBorders>
              <w:top w:val="nil"/>
              <w:left w:val="nil"/>
              <w:bottom w:val="single" w:color="auto" w:sz="4" w:space="0"/>
              <w:right w:val="single" w:color="auto" w:sz="4" w:space="0"/>
            </w:tcBorders>
            <w:shd w:val="clear" w:color="auto" w:fill="auto"/>
            <w:noWrap/>
            <w:vAlign w:val="center"/>
          </w:tcPr>
          <w:p w14:paraId="5229568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71.5</w:t>
            </w:r>
          </w:p>
        </w:tc>
        <w:tc>
          <w:tcPr>
            <w:tcW w:w="611" w:type="pct"/>
            <w:tcBorders>
              <w:top w:val="nil"/>
              <w:left w:val="nil"/>
              <w:bottom w:val="single" w:color="auto" w:sz="4" w:space="0"/>
              <w:right w:val="single" w:color="auto" w:sz="4" w:space="0"/>
            </w:tcBorders>
            <w:shd w:val="clear" w:color="auto" w:fill="auto"/>
            <w:noWrap/>
            <w:vAlign w:val="center"/>
          </w:tcPr>
          <w:p w14:paraId="775DABF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14.0</w:t>
            </w:r>
          </w:p>
        </w:tc>
        <w:tc>
          <w:tcPr>
            <w:tcW w:w="612" w:type="pct"/>
            <w:tcBorders>
              <w:top w:val="nil"/>
              <w:left w:val="nil"/>
              <w:bottom w:val="single" w:color="auto" w:sz="4" w:space="0"/>
              <w:right w:val="single" w:color="auto" w:sz="4" w:space="0"/>
            </w:tcBorders>
            <w:shd w:val="clear" w:color="auto" w:fill="auto"/>
            <w:noWrap/>
            <w:vAlign w:val="center"/>
          </w:tcPr>
          <w:p w14:paraId="70C9139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12.8</w:t>
            </w:r>
          </w:p>
        </w:tc>
        <w:tc>
          <w:tcPr>
            <w:tcW w:w="611" w:type="pct"/>
            <w:tcBorders>
              <w:top w:val="nil"/>
              <w:left w:val="nil"/>
              <w:bottom w:val="single" w:color="auto" w:sz="4" w:space="0"/>
              <w:right w:val="single" w:color="auto" w:sz="4" w:space="0"/>
            </w:tcBorders>
            <w:shd w:val="clear" w:color="auto" w:fill="auto"/>
            <w:noWrap/>
            <w:vAlign w:val="center"/>
          </w:tcPr>
          <w:p w14:paraId="75B37E4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24.0</w:t>
            </w:r>
          </w:p>
        </w:tc>
        <w:tc>
          <w:tcPr>
            <w:tcW w:w="612" w:type="pct"/>
            <w:tcBorders>
              <w:top w:val="nil"/>
              <w:left w:val="nil"/>
              <w:bottom w:val="single" w:color="auto" w:sz="4" w:space="0"/>
            </w:tcBorders>
            <w:shd w:val="clear" w:color="auto" w:fill="auto"/>
            <w:noWrap/>
            <w:vAlign w:val="center"/>
          </w:tcPr>
          <w:p w14:paraId="7157FBF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24.5</w:t>
            </w:r>
          </w:p>
        </w:tc>
      </w:tr>
      <w:tr w14:paraId="44E330F0">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38" w:type="pct"/>
            <w:vMerge w:val="continue"/>
            <w:tcBorders>
              <w:top w:val="nil"/>
              <w:bottom w:val="single" w:color="000000" w:sz="8" w:space="0"/>
              <w:right w:val="single" w:color="auto" w:sz="4" w:space="0"/>
            </w:tcBorders>
            <w:shd w:val="clear" w:color="auto" w:fill="auto"/>
            <w:noWrap w:val="0"/>
            <w:vAlign w:val="center"/>
          </w:tcPr>
          <w:p w14:paraId="28D85993">
            <w:pPr>
              <w:pStyle w:val="17"/>
              <w:kinsoku/>
              <w:wordWrap/>
              <w:topLinePunct w:val="0"/>
              <w:autoSpaceDE/>
              <w:autoSpaceDN/>
              <w:bidi w:val="0"/>
              <w:adjustRightInd/>
              <w:snapToGrid/>
              <w:textAlignment w:val="auto"/>
              <w:rPr>
                <w:rFonts w:hint="default" w:ascii="Times New Roman" w:hAnsi="Times New Roman" w:cs="Times New Roman"/>
              </w:rPr>
            </w:pPr>
          </w:p>
        </w:tc>
        <w:tc>
          <w:tcPr>
            <w:tcW w:w="364" w:type="pct"/>
            <w:tcBorders>
              <w:top w:val="nil"/>
              <w:left w:val="nil"/>
              <w:bottom w:val="single" w:color="auto" w:sz="4" w:space="0"/>
              <w:right w:val="single" w:color="auto" w:sz="4" w:space="0"/>
            </w:tcBorders>
            <w:shd w:val="clear" w:color="auto" w:fill="auto"/>
            <w:noWrap/>
            <w:vAlign w:val="center"/>
          </w:tcPr>
          <w:p w14:paraId="20D5AB2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18</w:t>
            </w:r>
          </w:p>
        </w:tc>
        <w:tc>
          <w:tcPr>
            <w:tcW w:w="885" w:type="pct"/>
            <w:tcBorders>
              <w:top w:val="nil"/>
              <w:left w:val="nil"/>
              <w:bottom w:val="single" w:color="auto" w:sz="4" w:space="0"/>
              <w:right w:val="single" w:color="auto" w:sz="4" w:space="0"/>
            </w:tcBorders>
            <w:shd w:val="clear" w:color="auto" w:fill="auto"/>
            <w:noWrap/>
            <w:vAlign w:val="center"/>
          </w:tcPr>
          <w:p w14:paraId="39BDD5F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大石棚子河</w:t>
            </w:r>
          </w:p>
        </w:tc>
        <w:tc>
          <w:tcPr>
            <w:tcW w:w="763" w:type="pct"/>
            <w:tcBorders>
              <w:top w:val="nil"/>
              <w:left w:val="nil"/>
              <w:bottom w:val="single" w:color="auto" w:sz="4" w:space="0"/>
              <w:right w:val="single" w:color="auto" w:sz="4" w:space="0"/>
            </w:tcBorders>
            <w:shd w:val="clear" w:color="auto" w:fill="auto"/>
            <w:noWrap/>
            <w:vAlign w:val="center"/>
          </w:tcPr>
          <w:p w14:paraId="24E098E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68.7</w:t>
            </w:r>
          </w:p>
        </w:tc>
        <w:tc>
          <w:tcPr>
            <w:tcW w:w="611" w:type="pct"/>
            <w:tcBorders>
              <w:top w:val="nil"/>
              <w:left w:val="nil"/>
              <w:bottom w:val="single" w:color="auto" w:sz="4" w:space="0"/>
              <w:right w:val="single" w:color="auto" w:sz="4" w:space="0"/>
            </w:tcBorders>
            <w:shd w:val="clear" w:color="auto" w:fill="auto"/>
            <w:noWrap/>
            <w:vAlign w:val="center"/>
          </w:tcPr>
          <w:p w14:paraId="52EF353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19.4</w:t>
            </w:r>
          </w:p>
        </w:tc>
        <w:tc>
          <w:tcPr>
            <w:tcW w:w="612" w:type="pct"/>
            <w:tcBorders>
              <w:top w:val="nil"/>
              <w:left w:val="nil"/>
              <w:bottom w:val="single" w:color="auto" w:sz="4" w:space="0"/>
              <w:right w:val="single" w:color="auto" w:sz="4" w:space="0"/>
            </w:tcBorders>
            <w:shd w:val="clear" w:color="auto" w:fill="auto"/>
            <w:noWrap/>
            <w:vAlign w:val="center"/>
          </w:tcPr>
          <w:p w14:paraId="1685879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17.9</w:t>
            </w:r>
          </w:p>
        </w:tc>
        <w:tc>
          <w:tcPr>
            <w:tcW w:w="611" w:type="pct"/>
            <w:tcBorders>
              <w:top w:val="nil"/>
              <w:left w:val="nil"/>
              <w:bottom w:val="single" w:color="auto" w:sz="4" w:space="0"/>
              <w:right w:val="single" w:color="auto" w:sz="4" w:space="0"/>
            </w:tcBorders>
            <w:shd w:val="clear" w:color="auto" w:fill="auto"/>
            <w:noWrap/>
            <w:vAlign w:val="center"/>
          </w:tcPr>
          <w:p w14:paraId="558B4ED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20.8</w:t>
            </w:r>
          </w:p>
        </w:tc>
        <w:tc>
          <w:tcPr>
            <w:tcW w:w="612" w:type="pct"/>
            <w:tcBorders>
              <w:top w:val="nil"/>
              <w:left w:val="nil"/>
              <w:bottom w:val="single" w:color="auto" w:sz="4" w:space="0"/>
            </w:tcBorders>
            <w:shd w:val="clear" w:color="auto" w:fill="auto"/>
            <w:noWrap/>
            <w:vAlign w:val="center"/>
          </w:tcPr>
          <w:p w14:paraId="6CE673C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18.2</w:t>
            </w:r>
          </w:p>
        </w:tc>
      </w:tr>
      <w:tr w14:paraId="5155CFB1">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38" w:type="pct"/>
            <w:vMerge w:val="continue"/>
            <w:tcBorders>
              <w:top w:val="nil"/>
              <w:bottom w:val="single" w:color="000000" w:sz="8" w:space="0"/>
              <w:right w:val="single" w:color="auto" w:sz="4" w:space="0"/>
            </w:tcBorders>
            <w:shd w:val="clear" w:color="auto" w:fill="auto"/>
            <w:noWrap w:val="0"/>
            <w:vAlign w:val="center"/>
          </w:tcPr>
          <w:p w14:paraId="28A9D032">
            <w:pPr>
              <w:pStyle w:val="17"/>
              <w:kinsoku/>
              <w:wordWrap/>
              <w:topLinePunct w:val="0"/>
              <w:autoSpaceDE/>
              <w:autoSpaceDN/>
              <w:bidi w:val="0"/>
              <w:adjustRightInd/>
              <w:snapToGrid/>
              <w:textAlignment w:val="auto"/>
              <w:rPr>
                <w:rFonts w:hint="default" w:ascii="Times New Roman" w:hAnsi="Times New Roman" w:cs="Times New Roman"/>
              </w:rPr>
            </w:pPr>
          </w:p>
        </w:tc>
        <w:tc>
          <w:tcPr>
            <w:tcW w:w="364" w:type="pct"/>
            <w:tcBorders>
              <w:top w:val="nil"/>
              <w:left w:val="nil"/>
              <w:bottom w:val="single" w:color="auto" w:sz="4" w:space="0"/>
              <w:right w:val="single" w:color="auto" w:sz="4" w:space="0"/>
            </w:tcBorders>
            <w:shd w:val="clear" w:color="auto" w:fill="auto"/>
            <w:noWrap/>
            <w:vAlign w:val="center"/>
          </w:tcPr>
          <w:p w14:paraId="397CCB2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19</w:t>
            </w:r>
          </w:p>
        </w:tc>
        <w:tc>
          <w:tcPr>
            <w:tcW w:w="885" w:type="pct"/>
            <w:tcBorders>
              <w:top w:val="nil"/>
              <w:left w:val="nil"/>
              <w:bottom w:val="single" w:color="auto" w:sz="4" w:space="0"/>
              <w:right w:val="single" w:color="auto" w:sz="4" w:space="0"/>
            </w:tcBorders>
            <w:shd w:val="clear" w:color="auto" w:fill="auto"/>
            <w:noWrap/>
            <w:vAlign w:val="center"/>
          </w:tcPr>
          <w:p w14:paraId="7B375A3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正岔河</w:t>
            </w:r>
          </w:p>
        </w:tc>
        <w:tc>
          <w:tcPr>
            <w:tcW w:w="763" w:type="pct"/>
            <w:tcBorders>
              <w:top w:val="nil"/>
              <w:left w:val="nil"/>
              <w:bottom w:val="single" w:color="auto" w:sz="4" w:space="0"/>
              <w:right w:val="single" w:color="auto" w:sz="4" w:space="0"/>
            </w:tcBorders>
            <w:shd w:val="clear" w:color="auto" w:fill="auto"/>
            <w:noWrap/>
            <w:vAlign w:val="center"/>
          </w:tcPr>
          <w:p w14:paraId="4CCDF56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52.6</w:t>
            </w:r>
          </w:p>
        </w:tc>
        <w:tc>
          <w:tcPr>
            <w:tcW w:w="611" w:type="pct"/>
            <w:tcBorders>
              <w:top w:val="nil"/>
              <w:left w:val="nil"/>
              <w:bottom w:val="single" w:color="auto" w:sz="4" w:space="0"/>
              <w:right w:val="single" w:color="auto" w:sz="4" w:space="0"/>
            </w:tcBorders>
            <w:shd w:val="clear" w:color="auto" w:fill="auto"/>
            <w:noWrap/>
            <w:vAlign w:val="center"/>
          </w:tcPr>
          <w:p w14:paraId="2A2C854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13.4</w:t>
            </w:r>
          </w:p>
        </w:tc>
        <w:tc>
          <w:tcPr>
            <w:tcW w:w="612" w:type="pct"/>
            <w:tcBorders>
              <w:top w:val="nil"/>
              <w:left w:val="nil"/>
              <w:bottom w:val="single" w:color="auto" w:sz="4" w:space="0"/>
              <w:right w:val="single" w:color="auto" w:sz="4" w:space="0"/>
            </w:tcBorders>
            <w:shd w:val="clear" w:color="auto" w:fill="auto"/>
            <w:noWrap/>
            <w:vAlign w:val="center"/>
          </w:tcPr>
          <w:p w14:paraId="3F14E1B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13.3</w:t>
            </w:r>
          </w:p>
        </w:tc>
        <w:tc>
          <w:tcPr>
            <w:tcW w:w="611" w:type="pct"/>
            <w:tcBorders>
              <w:top w:val="nil"/>
              <w:left w:val="nil"/>
              <w:bottom w:val="single" w:color="auto" w:sz="4" w:space="0"/>
              <w:right w:val="single" w:color="auto" w:sz="4" w:space="0"/>
            </w:tcBorders>
            <w:shd w:val="clear" w:color="auto" w:fill="auto"/>
            <w:noWrap/>
            <w:vAlign w:val="center"/>
          </w:tcPr>
          <w:p w14:paraId="2F58721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15.5</w:t>
            </w:r>
          </w:p>
        </w:tc>
        <w:tc>
          <w:tcPr>
            <w:tcW w:w="612" w:type="pct"/>
            <w:tcBorders>
              <w:top w:val="nil"/>
              <w:left w:val="nil"/>
              <w:bottom w:val="single" w:color="auto" w:sz="4" w:space="0"/>
            </w:tcBorders>
            <w:shd w:val="clear" w:color="auto" w:fill="auto"/>
            <w:noWrap/>
            <w:vAlign w:val="center"/>
          </w:tcPr>
          <w:p w14:paraId="30885CD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15.4</w:t>
            </w:r>
          </w:p>
        </w:tc>
      </w:tr>
      <w:tr w14:paraId="507312D3">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38" w:type="pct"/>
            <w:vMerge w:val="continue"/>
            <w:tcBorders>
              <w:top w:val="nil"/>
              <w:bottom w:val="single" w:color="000000" w:sz="8" w:space="0"/>
              <w:right w:val="single" w:color="auto" w:sz="4" w:space="0"/>
            </w:tcBorders>
            <w:shd w:val="clear" w:color="auto" w:fill="auto"/>
            <w:noWrap w:val="0"/>
            <w:vAlign w:val="center"/>
          </w:tcPr>
          <w:p w14:paraId="6D68E3C2">
            <w:pPr>
              <w:pStyle w:val="17"/>
              <w:kinsoku/>
              <w:wordWrap/>
              <w:topLinePunct w:val="0"/>
              <w:autoSpaceDE/>
              <w:autoSpaceDN/>
              <w:bidi w:val="0"/>
              <w:adjustRightInd/>
              <w:snapToGrid/>
              <w:textAlignment w:val="auto"/>
              <w:rPr>
                <w:rFonts w:hint="default" w:ascii="Times New Roman" w:hAnsi="Times New Roman" w:cs="Times New Roman"/>
              </w:rPr>
            </w:pPr>
          </w:p>
        </w:tc>
        <w:tc>
          <w:tcPr>
            <w:tcW w:w="364" w:type="pct"/>
            <w:tcBorders>
              <w:top w:val="nil"/>
              <w:left w:val="nil"/>
              <w:bottom w:val="single" w:color="auto" w:sz="4" w:space="0"/>
              <w:right w:val="single" w:color="auto" w:sz="4" w:space="0"/>
            </w:tcBorders>
            <w:shd w:val="clear" w:color="auto" w:fill="auto"/>
            <w:noWrap/>
            <w:vAlign w:val="center"/>
          </w:tcPr>
          <w:p w14:paraId="6CED7DB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w:t>
            </w:r>
          </w:p>
        </w:tc>
        <w:tc>
          <w:tcPr>
            <w:tcW w:w="885" w:type="pct"/>
            <w:tcBorders>
              <w:top w:val="nil"/>
              <w:left w:val="nil"/>
              <w:bottom w:val="single" w:color="auto" w:sz="4" w:space="0"/>
              <w:right w:val="single" w:color="auto" w:sz="4" w:space="0"/>
            </w:tcBorders>
            <w:shd w:val="clear" w:color="auto" w:fill="auto"/>
            <w:noWrap/>
            <w:vAlign w:val="center"/>
          </w:tcPr>
          <w:p w14:paraId="4EED85C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高丽堡子河</w:t>
            </w:r>
          </w:p>
        </w:tc>
        <w:tc>
          <w:tcPr>
            <w:tcW w:w="763" w:type="pct"/>
            <w:tcBorders>
              <w:top w:val="nil"/>
              <w:left w:val="nil"/>
              <w:bottom w:val="single" w:color="auto" w:sz="4" w:space="0"/>
              <w:right w:val="single" w:color="auto" w:sz="4" w:space="0"/>
            </w:tcBorders>
            <w:shd w:val="clear" w:color="auto" w:fill="auto"/>
            <w:noWrap/>
            <w:vAlign w:val="center"/>
          </w:tcPr>
          <w:p w14:paraId="5F1A733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50.8</w:t>
            </w:r>
          </w:p>
        </w:tc>
        <w:tc>
          <w:tcPr>
            <w:tcW w:w="611" w:type="pct"/>
            <w:tcBorders>
              <w:top w:val="nil"/>
              <w:left w:val="nil"/>
              <w:bottom w:val="single" w:color="auto" w:sz="4" w:space="0"/>
              <w:right w:val="single" w:color="auto" w:sz="4" w:space="0"/>
            </w:tcBorders>
            <w:shd w:val="clear" w:color="auto" w:fill="auto"/>
            <w:noWrap/>
            <w:vAlign w:val="center"/>
          </w:tcPr>
          <w:p w14:paraId="6474283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12.8</w:t>
            </w:r>
          </w:p>
        </w:tc>
        <w:tc>
          <w:tcPr>
            <w:tcW w:w="612" w:type="pct"/>
            <w:tcBorders>
              <w:top w:val="nil"/>
              <w:left w:val="nil"/>
              <w:bottom w:val="single" w:color="auto" w:sz="4" w:space="0"/>
              <w:right w:val="single" w:color="auto" w:sz="4" w:space="0"/>
            </w:tcBorders>
            <w:shd w:val="clear" w:color="auto" w:fill="auto"/>
            <w:noWrap/>
            <w:vAlign w:val="center"/>
          </w:tcPr>
          <w:p w14:paraId="6E9451A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10.1</w:t>
            </w:r>
          </w:p>
        </w:tc>
        <w:tc>
          <w:tcPr>
            <w:tcW w:w="611" w:type="pct"/>
            <w:tcBorders>
              <w:top w:val="nil"/>
              <w:left w:val="nil"/>
              <w:bottom w:val="single" w:color="auto" w:sz="4" w:space="0"/>
              <w:right w:val="single" w:color="auto" w:sz="4" w:space="0"/>
            </w:tcBorders>
            <w:shd w:val="clear" w:color="auto" w:fill="auto"/>
            <w:noWrap/>
            <w:vAlign w:val="center"/>
          </w:tcPr>
          <w:p w14:paraId="32C1CE6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21.2</w:t>
            </w:r>
          </w:p>
        </w:tc>
        <w:tc>
          <w:tcPr>
            <w:tcW w:w="612" w:type="pct"/>
            <w:tcBorders>
              <w:top w:val="nil"/>
              <w:left w:val="nil"/>
              <w:bottom w:val="single" w:color="auto" w:sz="4" w:space="0"/>
            </w:tcBorders>
            <w:shd w:val="clear" w:color="auto" w:fill="auto"/>
            <w:noWrap/>
            <w:vAlign w:val="center"/>
          </w:tcPr>
          <w:p w14:paraId="3B3CD10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16.8</w:t>
            </w:r>
          </w:p>
        </w:tc>
      </w:tr>
      <w:tr w14:paraId="0F21849B">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38" w:type="pct"/>
            <w:vMerge w:val="continue"/>
            <w:tcBorders>
              <w:top w:val="nil"/>
              <w:bottom w:val="single" w:color="000000" w:sz="8" w:space="0"/>
              <w:right w:val="single" w:color="auto" w:sz="4" w:space="0"/>
            </w:tcBorders>
            <w:shd w:val="clear" w:color="auto" w:fill="auto"/>
            <w:noWrap w:val="0"/>
            <w:vAlign w:val="center"/>
          </w:tcPr>
          <w:p w14:paraId="206CDCA3">
            <w:pPr>
              <w:pStyle w:val="17"/>
              <w:kinsoku/>
              <w:wordWrap/>
              <w:topLinePunct w:val="0"/>
              <w:autoSpaceDE/>
              <w:autoSpaceDN/>
              <w:bidi w:val="0"/>
              <w:adjustRightInd/>
              <w:snapToGrid/>
              <w:textAlignment w:val="auto"/>
              <w:rPr>
                <w:rFonts w:hint="default" w:ascii="Times New Roman" w:hAnsi="Times New Roman" w:cs="Times New Roman"/>
              </w:rPr>
            </w:pPr>
          </w:p>
        </w:tc>
        <w:tc>
          <w:tcPr>
            <w:tcW w:w="364" w:type="pct"/>
            <w:tcBorders>
              <w:top w:val="nil"/>
              <w:left w:val="nil"/>
              <w:bottom w:val="single" w:color="auto" w:sz="4" w:space="0"/>
              <w:right w:val="single" w:color="auto" w:sz="4" w:space="0"/>
            </w:tcBorders>
            <w:shd w:val="clear" w:color="auto" w:fill="auto"/>
            <w:noWrap/>
            <w:vAlign w:val="center"/>
          </w:tcPr>
          <w:p w14:paraId="7986418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21</w:t>
            </w:r>
          </w:p>
        </w:tc>
        <w:tc>
          <w:tcPr>
            <w:tcW w:w="885" w:type="pct"/>
            <w:tcBorders>
              <w:top w:val="nil"/>
              <w:left w:val="nil"/>
              <w:bottom w:val="single" w:color="auto" w:sz="4" w:space="0"/>
              <w:right w:val="single" w:color="auto" w:sz="4" w:space="0"/>
            </w:tcBorders>
            <w:shd w:val="clear" w:color="auto" w:fill="auto"/>
            <w:noWrap/>
            <w:vAlign w:val="center"/>
          </w:tcPr>
          <w:p w14:paraId="4A557B1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榆木桥子河</w:t>
            </w:r>
          </w:p>
        </w:tc>
        <w:tc>
          <w:tcPr>
            <w:tcW w:w="763" w:type="pct"/>
            <w:tcBorders>
              <w:top w:val="nil"/>
              <w:left w:val="nil"/>
              <w:bottom w:val="single" w:color="auto" w:sz="4" w:space="0"/>
              <w:right w:val="single" w:color="auto" w:sz="4" w:space="0"/>
            </w:tcBorders>
            <w:shd w:val="clear" w:color="auto" w:fill="auto"/>
            <w:noWrap/>
            <w:vAlign w:val="center"/>
          </w:tcPr>
          <w:p w14:paraId="38281AD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50.4</w:t>
            </w:r>
          </w:p>
        </w:tc>
        <w:tc>
          <w:tcPr>
            <w:tcW w:w="611" w:type="pct"/>
            <w:tcBorders>
              <w:top w:val="nil"/>
              <w:left w:val="nil"/>
              <w:bottom w:val="single" w:color="auto" w:sz="4" w:space="0"/>
              <w:right w:val="single" w:color="auto" w:sz="4" w:space="0"/>
            </w:tcBorders>
            <w:shd w:val="clear" w:color="auto" w:fill="auto"/>
            <w:noWrap/>
            <w:vAlign w:val="center"/>
          </w:tcPr>
          <w:p w14:paraId="63CA4F0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13.6</w:t>
            </w:r>
          </w:p>
        </w:tc>
        <w:tc>
          <w:tcPr>
            <w:tcW w:w="612" w:type="pct"/>
            <w:tcBorders>
              <w:top w:val="nil"/>
              <w:left w:val="nil"/>
              <w:bottom w:val="single" w:color="auto" w:sz="4" w:space="0"/>
              <w:right w:val="single" w:color="auto" w:sz="4" w:space="0"/>
            </w:tcBorders>
            <w:shd w:val="clear" w:color="auto" w:fill="auto"/>
            <w:noWrap/>
            <w:vAlign w:val="center"/>
          </w:tcPr>
          <w:p w14:paraId="3B96145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12.0</w:t>
            </w:r>
          </w:p>
        </w:tc>
        <w:tc>
          <w:tcPr>
            <w:tcW w:w="611" w:type="pct"/>
            <w:tcBorders>
              <w:top w:val="nil"/>
              <w:left w:val="nil"/>
              <w:bottom w:val="single" w:color="auto" w:sz="4" w:space="0"/>
              <w:right w:val="single" w:color="auto" w:sz="4" w:space="0"/>
            </w:tcBorders>
            <w:shd w:val="clear" w:color="auto" w:fill="auto"/>
            <w:noWrap/>
            <w:vAlign w:val="center"/>
          </w:tcPr>
          <w:p w14:paraId="34922EB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23.0</w:t>
            </w:r>
          </w:p>
        </w:tc>
        <w:tc>
          <w:tcPr>
            <w:tcW w:w="612" w:type="pct"/>
            <w:tcBorders>
              <w:top w:val="nil"/>
              <w:left w:val="nil"/>
              <w:bottom w:val="single" w:color="auto" w:sz="4" w:space="0"/>
            </w:tcBorders>
            <w:shd w:val="clear" w:color="auto" w:fill="auto"/>
            <w:noWrap/>
            <w:vAlign w:val="center"/>
          </w:tcPr>
          <w:p w14:paraId="3B33B36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22.0</w:t>
            </w:r>
          </w:p>
        </w:tc>
      </w:tr>
      <w:tr w14:paraId="07DFFCCB">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38" w:type="pct"/>
            <w:vMerge w:val="continue"/>
            <w:tcBorders>
              <w:top w:val="nil"/>
              <w:bottom w:val="single" w:color="000000" w:sz="8" w:space="0"/>
              <w:right w:val="single" w:color="auto" w:sz="4" w:space="0"/>
            </w:tcBorders>
            <w:shd w:val="clear" w:color="auto" w:fill="auto"/>
            <w:noWrap w:val="0"/>
            <w:vAlign w:val="center"/>
          </w:tcPr>
          <w:p w14:paraId="1DF72ADC">
            <w:pPr>
              <w:pStyle w:val="17"/>
              <w:kinsoku/>
              <w:wordWrap/>
              <w:topLinePunct w:val="0"/>
              <w:autoSpaceDE/>
              <w:autoSpaceDN/>
              <w:bidi w:val="0"/>
              <w:adjustRightInd/>
              <w:snapToGrid/>
              <w:textAlignment w:val="auto"/>
              <w:rPr>
                <w:rFonts w:hint="default" w:ascii="Times New Roman" w:hAnsi="Times New Roman" w:cs="Times New Roman"/>
              </w:rPr>
            </w:pPr>
          </w:p>
        </w:tc>
        <w:tc>
          <w:tcPr>
            <w:tcW w:w="364" w:type="pct"/>
            <w:tcBorders>
              <w:top w:val="nil"/>
              <w:left w:val="nil"/>
              <w:bottom w:val="single" w:color="auto" w:sz="4" w:space="0"/>
              <w:right w:val="single" w:color="auto" w:sz="4" w:space="0"/>
            </w:tcBorders>
            <w:shd w:val="clear" w:color="auto" w:fill="auto"/>
            <w:noWrap/>
            <w:vAlign w:val="center"/>
          </w:tcPr>
          <w:p w14:paraId="23596E9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22</w:t>
            </w:r>
          </w:p>
        </w:tc>
        <w:tc>
          <w:tcPr>
            <w:tcW w:w="885" w:type="pct"/>
            <w:tcBorders>
              <w:top w:val="nil"/>
              <w:left w:val="nil"/>
              <w:bottom w:val="single" w:color="auto" w:sz="4" w:space="0"/>
              <w:right w:val="single" w:color="auto" w:sz="4" w:space="0"/>
            </w:tcBorders>
            <w:shd w:val="clear" w:color="auto" w:fill="auto"/>
            <w:noWrap/>
            <w:vAlign w:val="center"/>
          </w:tcPr>
          <w:p w14:paraId="074AAFF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大石人河</w:t>
            </w:r>
          </w:p>
        </w:tc>
        <w:tc>
          <w:tcPr>
            <w:tcW w:w="763" w:type="pct"/>
            <w:tcBorders>
              <w:top w:val="nil"/>
              <w:left w:val="nil"/>
              <w:bottom w:val="single" w:color="auto" w:sz="4" w:space="0"/>
              <w:right w:val="single" w:color="auto" w:sz="4" w:space="0"/>
            </w:tcBorders>
            <w:shd w:val="clear" w:color="auto" w:fill="auto"/>
            <w:noWrap/>
            <w:vAlign w:val="center"/>
          </w:tcPr>
          <w:p w14:paraId="370C47A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40.6</w:t>
            </w:r>
          </w:p>
        </w:tc>
        <w:tc>
          <w:tcPr>
            <w:tcW w:w="611" w:type="pct"/>
            <w:tcBorders>
              <w:top w:val="nil"/>
              <w:left w:val="nil"/>
              <w:bottom w:val="single" w:color="auto" w:sz="4" w:space="0"/>
              <w:right w:val="single" w:color="auto" w:sz="4" w:space="0"/>
            </w:tcBorders>
            <w:shd w:val="clear" w:color="auto" w:fill="auto"/>
            <w:noWrap/>
            <w:vAlign w:val="center"/>
          </w:tcPr>
          <w:p w14:paraId="665C490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17.4</w:t>
            </w:r>
          </w:p>
        </w:tc>
        <w:tc>
          <w:tcPr>
            <w:tcW w:w="612" w:type="pct"/>
            <w:tcBorders>
              <w:top w:val="nil"/>
              <w:left w:val="nil"/>
              <w:bottom w:val="single" w:color="auto" w:sz="4" w:space="0"/>
              <w:right w:val="single" w:color="auto" w:sz="4" w:space="0"/>
            </w:tcBorders>
            <w:shd w:val="clear" w:color="auto" w:fill="auto"/>
            <w:noWrap/>
            <w:vAlign w:val="center"/>
          </w:tcPr>
          <w:p w14:paraId="4D54212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16.5</w:t>
            </w:r>
          </w:p>
        </w:tc>
        <w:tc>
          <w:tcPr>
            <w:tcW w:w="611" w:type="pct"/>
            <w:tcBorders>
              <w:top w:val="nil"/>
              <w:left w:val="nil"/>
              <w:bottom w:val="single" w:color="auto" w:sz="4" w:space="0"/>
              <w:right w:val="single" w:color="auto" w:sz="4" w:space="0"/>
            </w:tcBorders>
            <w:shd w:val="clear" w:color="auto" w:fill="auto"/>
            <w:noWrap/>
            <w:vAlign w:val="center"/>
          </w:tcPr>
          <w:p w14:paraId="646ECDC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20.3</w:t>
            </w:r>
          </w:p>
        </w:tc>
        <w:tc>
          <w:tcPr>
            <w:tcW w:w="612" w:type="pct"/>
            <w:tcBorders>
              <w:top w:val="nil"/>
              <w:left w:val="nil"/>
              <w:bottom w:val="single" w:color="auto" w:sz="4" w:space="0"/>
            </w:tcBorders>
            <w:shd w:val="clear" w:color="auto" w:fill="auto"/>
            <w:noWrap/>
            <w:vAlign w:val="center"/>
          </w:tcPr>
          <w:p w14:paraId="33B492F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18.9</w:t>
            </w:r>
          </w:p>
        </w:tc>
      </w:tr>
      <w:tr w14:paraId="5B609BF0">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38" w:type="pct"/>
            <w:vMerge w:val="continue"/>
            <w:tcBorders>
              <w:top w:val="nil"/>
              <w:bottom w:val="single" w:color="000000" w:sz="8" w:space="0"/>
              <w:right w:val="single" w:color="auto" w:sz="4" w:space="0"/>
            </w:tcBorders>
            <w:shd w:val="clear" w:color="auto" w:fill="auto"/>
            <w:noWrap w:val="0"/>
            <w:vAlign w:val="center"/>
          </w:tcPr>
          <w:p w14:paraId="1A3BEF3A">
            <w:pPr>
              <w:pStyle w:val="17"/>
              <w:kinsoku/>
              <w:wordWrap/>
              <w:topLinePunct w:val="0"/>
              <w:autoSpaceDE/>
              <w:autoSpaceDN/>
              <w:bidi w:val="0"/>
              <w:adjustRightInd/>
              <w:snapToGrid/>
              <w:textAlignment w:val="auto"/>
              <w:rPr>
                <w:rFonts w:hint="default" w:ascii="Times New Roman" w:hAnsi="Times New Roman" w:cs="Times New Roman"/>
              </w:rPr>
            </w:pPr>
          </w:p>
        </w:tc>
        <w:tc>
          <w:tcPr>
            <w:tcW w:w="364" w:type="pct"/>
            <w:tcBorders>
              <w:top w:val="nil"/>
              <w:left w:val="nil"/>
              <w:bottom w:val="single" w:color="auto" w:sz="4" w:space="0"/>
              <w:right w:val="single" w:color="auto" w:sz="4" w:space="0"/>
            </w:tcBorders>
            <w:shd w:val="clear" w:color="auto" w:fill="auto"/>
            <w:noWrap/>
            <w:vAlign w:val="center"/>
          </w:tcPr>
          <w:p w14:paraId="3C8D26C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23</w:t>
            </w:r>
          </w:p>
        </w:tc>
        <w:tc>
          <w:tcPr>
            <w:tcW w:w="885" w:type="pct"/>
            <w:tcBorders>
              <w:top w:val="nil"/>
              <w:left w:val="nil"/>
              <w:bottom w:val="single" w:color="auto" w:sz="4" w:space="0"/>
              <w:right w:val="single" w:color="auto" w:sz="4" w:space="0"/>
            </w:tcBorders>
            <w:shd w:val="clear" w:color="auto" w:fill="auto"/>
            <w:noWrap/>
            <w:vAlign w:val="center"/>
          </w:tcPr>
          <w:p w14:paraId="3EC1827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小洋桥河</w:t>
            </w:r>
          </w:p>
        </w:tc>
        <w:tc>
          <w:tcPr>
            <w:tcW w:w="763" w:type="pct"/>
            <w:tcBorders>
              <w:top w:val="nil"/>
              <w:left w:val="nil"/>
              <w:bottom w:val="single" w:color="auto" w:sz="4" w:space="0"/>
              <w:right w:val="single" w:color="auto" w:sz="4" w:space="0"/>
            </w:tcBorders>
            <w:shd w:val="clear" w:color="auto" w:fill="auto"/>
            <w:noWrap/>
            <w:vAlign w:val="center"/>
          </w:tcPr>
          <w:p w14:paraId="579C74E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38.3</w:t>
            </w:r>
          </w:p>
        </w:tc>
        <w:tc>
          <w:tcPr>
            <w:tcW w:w="611" w:type="pct"/>
            <w:tcBorders>
              <w:top w:val="nil"/>
              <w:left w:val="nil"/>
              <w:bottom w:val="single" w:color="auto" w:sz="4" w:space="0"/>
              <w:right w:val="single" w:color="auto" w:sz="4" w:space="0"/>
            </w:tcBorders>
            <w:shd w:val="clear" w:color="auto" w:fill="auto"/>
            <w:noWrap/>
            <w:vAlign w:val="center"/>
          </w:tcPr>
          <w:p w14:paraId="49600FC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15.5</w:t>
            </w:r>
          </w:p>
        </w:tc>
        <w:tc>
          <w:tcPr>
            <w:tcW w:w="612" w:type="pct"/>
            <w:tcBorders>
              <w:top w:val="nil"/>
              <w:left w:val="nil"/>
              <w:bottom w:val="single" w:color="auto" w:sz="4" w:space="0"/>
              <w:right w:val="single" w:color="auto" w:sz="4" w:space="0"/>
            </w:tcBorders>
            <w:shd w:val="clear" w:color="auto" w:fill="auto"/>
            <w:noWrap/>
            <w:vAlign w:val="center"/>
          </w:tcPr>
          <w:p w14:paraId="2B68FCF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13.3</w:t>
            </w:r>
          </w:p>
        </w:tc>
        <w:tc>
          <w:tcPr>
            <w:tcW w:w="611" w:type="pct"/>
            <w:tcBorders>
              <w:top w:val="nil"/>
              <w:left w:val="nil"/>
              <w:bottom w:val="single" w:color="auto" w:sz="4" w:space="0"/>
              <w:right w:val="single" w:color="auto" w:sz="4" w:space="0"/>
            </w:tcBorders>
            <w:shd w:val="clear" w:color="auto" w:fill="auto"/>
            <w:noWrap/>
            <w:vAlign w:val="center"/>
          </w:tcPr>
          <w:p w14:paraId="53D7FF6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20.6</w:t>
            </w:r>
          </w:p>
        </w:tc>
        <w:tc>
          <w:tcPr>
            <w:tcW w:w="612" w:type="pct"/>
            <w:tcBorders>
              <w:top w:val="nil"/>
              <w:left w:val="nil"/>
              <w:bottom w:val="single" w:color="auto" w:sz="4" w:space="0"/>
            </w:tcBorders>
            <w:shd w:val="clear" w:color="auto" w:fill="auto"/>
            <w:noWrap/>
            <w:vAlign w:val="center"/>
          </w:tcPr>
          <w:p w14:paraId="6117B88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17.7</w:t>
            </w:r>
          </w:p>
        </w:tc>
      </w:tr>
      <w:tr w14:paraId="50BC38E5">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38" w:type="pct"/>
            <w:vMerge w:val="continue"/>
            <w:tcBorders>
              <w:top w:val="nil"/>
              <w:bottom w:val="single" w:color="000000" w:sz="8" w:space="0"/>
              <w:right w:val="single" w:color="auto" w:sz="4" w:space="0"/>
            </w:tcBorders>
            <w:shd w:val="clear" w:color="auto" w:fill="auto"/>
            <w:noWrap w:val="0"/>
            <w:vAlign w:val="center"/>
          </w:tcPr>
          <w:p w14:paraId="1BAAC24E">
            <w:pPr>
              <w:pStyle w:val="17"/>
              <w:kinsoku/>
              <w:wordWrap/>
              <w:topLinePunct w:val="0"/>
              <w:autoSpaceDE/>
              <w:autoSpaceDN/>
              <w:bidi w:val="0"/>
              <w:adjustRightInd/>
              <w:snapToGrid/>
              <w:textAlignment w:val="auto"/>
              <w:rPr>
                <w:rFonts w:hint="default" w:ascii="Times New Roman" w:hAnsi="Times New Roman" w:cs="Times New Roman"/>
              </w:rPr>
            </w:pPr>
          </w:p>
        </w:tc>
        <w:tc>
          <w:tcPr>
            <w:tcW w:w="364" w:type="pct"/>
            <w:tcBorders>
              <w:top w:val="nil"/>
              <w:left w:val="nil"/>
              <w:bottom w:val="single" w:color="auto" w:sz="4" w:space="0"/>
              <w:right w:val="single" w:color="auto" w:sz="4" w:space="0"/>
            </w:tcBorders>
            <w:shd w:val="clear" w:color="auto" w:fill="auto"/>
            <w:noWrap/>
            <w:vAlign w:val="center"/>
          </w:tcPr>
          <w:p w14:paraId="17D6CF4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24</w:t>
            </w:r>
          </w:p>
        </w:tc>
        <w:tc>
          <w:tcPr>
            <w:tcW w:w="885" w:type="pct"/>
            <w:tcBorders>
              <w:top w:val="nil"/>
              <w:left w:val="nil"/>
              <w:bottom w:val="single" w:color="auto" w:sz="4" w:space="0"/>
              <w:right w:val="single" w:color="auto" w:sz="4" w:space="0"/>
            </w:tcBorders>
            <w:shd w:val="clear" w:color="auto" w:fill="auto"/>
            <w:noWrap/>
            <w:vAlign w:val="center"/>
          </w:tcPr>
          <w:p w14:paraId="1C4E148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八宝河</w:t>
            </w:r>
          </w:p>
        </w:tc>
        <w:tc>
          <w:tcPr>
            <w:tcW w:w="763" w:type="pct"/>
            <w:tcBorders>
              <w:top w:val="nil"/>
              <w:left w:val="nil"/>
              <w:bottom w:val="single" w:color="auto" w:sz="4" w:space="0"/>
              <w:right w:val="single" w:color="auto" w:sz="4" w:space="0"/>
            </w:tcBorders>
            <w:shd w:val="clear" w:color="auto" w:fill="auto"/>
            <w:noWrap/>
            <w:vAlign w:val="center"/>
          </w:tcPr>
          <w:p w14:paraId="100F04D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34.1</w:t>
            </w:r>
          </w:p>
        </w:tc>
        <w:tc>
          <w:tcPr>
            <w:tcW w:w="611" w:type="pct"/>
            <w:tcBorders>
              <w:top w:val="nil"/>
              <w:left w:val="nil"/>
              <w:bottom w:val="single" w:color="auto" w:sz="4" w:space="0"/>
              <w:right w:val="single" w:color="auto" w:sz="4" w:space="0"/>
            </w:tcBorders>
            <w:shd w:val="clear" w:color="auto" w:fill="auto"/>
            <w:noWrap/>
            <w:vAlign w:val="center"/>
          </w:tcPr>
          <w:p w14:paraId="3D11FAC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11.5</w:t>
            </w:r>
          </w:p>
        </w:tc>
        <w:tc>
          <w:tcPr>
            <w:tcW w:w="612" w:type="pct"/>
            <w:tcBorders>
              <w:top w:val="nil"/>
              <w:left w:val="nil"/>
              <w:bottom w:val="single" w:color="auto" w:sz="4" w:space="0"/>
              <w:right w:val="single" w:color="auto" w:sz="4" w:space="0"/>
            </w:tcBorders>
            <w:shd w:val="clear" w:color="auto" w:fill="auto"/>
            <w:noWrap/>
            <w:vAlign w:val="center"/>
          </w:tcPr>
          <w:p w14:paraId="33E83B8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11.1</w:t>
            </w:r>
          </w:p>
        </w:tc>
        <w:tc>
          <w:tcPr>
            <w:tcW w:w="611" w:type="pct"/>
            <w:tcBorders>
              <w:top w:val="nil"/>
              <w:left w:val="nil"/>
              <w:bottom w:val="single" w:color="auto" w:sz="4" w:space="0"/>
              <w:right w:val="single" w:color="auto" w:sz="4" w:space="0"/>
            </w:tcBorders>
            <w:shd w:val="clear" w:color="auto" w:fill="auto"/>
            <w:noWrap/>
            <w:vAlign w:val="center"/>
          </w:tcPr>
          <w:p w14:paraId="664C3DB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14.1</w:t>
            </w:r>
          </w:p>
        </w:tc>
        <w:tc>
          <w:tcPr>
            <w:tcW w:w="612" w:type="pct"/>
            <w:tcBorders>
              <w:top w:val="nil"/>
              <w:left w:val="nil"/>
              <w:bottom w:val="single" w:color="auto" w:sz="4" w:space="0"/>
            </w:tcBorders>
            <w:shd w:val="clear" w:color="auto" w:fill="auto"/>
            <w:noWrap/>
            <w:vAlign w:val="center"/>
          </w:tcPr>
          <w:p w14:paraId="16C610E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13.4</w:t>
            </w:r>
          </w:p>
        </w:tc>
      </w:tr>
      <w:tr w14:paraId="7C4ED466">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38" w:type="pct"/>
            <w:vMerge w:val="continue"/>
            <w:tcBorders>
              <w:top w:val="nil"/>
              <w:bottom w:val="single" w:color="000000" w:sz="8" w:space="0"/>
              <w:right w:val="single" w:color="auto" w:sz="4" w:space="0"/>
            </w:tcBorders>
            <w:shd w:val="clear" w:color="auto" w:fill="auto"/>
            <w:noWrap w:val="0"/>
            <w:vAlign w:val="center"/>
          </w:tcPr>
          <w:p w14:paraId="3BD4A7CE">
            <w:pPr>
              <w:pStyle w:val="17"/>
              <w:kinsoku/>
              <w:wordWrap/>
              <w:topLinePunct w:val="0"/>
              <w:autoSpaceDE/>
              <w:autoSpaceDN/>
              <w:bidi w:val="0"/>
              <w:adjustRightInd/>
              <w:snapToGrid/>
              <w:textAlignment w:val="auto"/>
              <w:rPr>
                <w:rFonts w:hint="default" w:ascii="Times New Roman" w:hAnsi="Times New Roman" w:cs="Times New Roman"/>
              </w:rPr>
            </w:pPr>
          </w:p>
        </w:tc>
        <w:tc>
          <w:tcPr>
            <w:tcW w:w="364" w:type="pct"/>
            <w:tcBorders>
              <w:top w:val="nil"/>
              <w:left w:val="nil"/>
              <w:bottom w:val="single" w:color="auto" w:sz="4" w:space="0"/>
              <w:right w:val="single" w:color="auto" w:sz="4" w:space="0"/>
            </w:tcBorders>
            <w:shd w:val="clear" w:color="auto" w:fill="auto"/>
            <w:noWrap/>
            <w:vAlign w:val="center"/>
          </w:tcPr>
          <w:p w14:paraId="6AE5407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25</w:t>
            </w:r>
          </w:p>
        </w:tc>
        <w:tc>
          <w:tcPr>
            <w:tcW w:w="885" w:type="pct"/>
            <w:tcBorders>
              <w:top w:val="nil"/>
              <w:left w:val="nil"/>
              <w:bottom w:val="single" w:color="auto" w:sz="4" w:space="0"/>
              <w:right w:val="single" w:color="auto" w:sz="4" w:space="0"/>
            </w:tcBorders>
            <w:shd w:val="clear" w:color="auto" w:fill="auto"/>
            <w:noWrap/>
            <w:vAlign w:val="center"/>
          </w:tcPr>
          <w:p w14:paraId="52F71E9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后葫芦河</w:t>
            </w:r>
          </w:p>
        </w:tc>
        <w:tc>
          <w:tcPr>
            <w:tcW w:w="763" w:type="pct"/>
            <w:tcBorders>
              <w:top w:val="nil"/>
              <w:left w:val="nil"/>
              <w:bottom w:val="single" w:color="auto" w:sz="4" w:space="0"/>
              <w:right w:val="single" w:color="auto" w:sz="4" w:space="0"/>
            </w:tcBorders>
            <w:shd w:val="clear" w:color="auto" w:fill="auto"/>
            <w:noWrap/>
            <w:vAlign w:val="center"/>
          </w:tcPr>
          <w:p w14:paraId="6149EE5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30.4</w:t>
            </w:r>
          </w:p>
        </w:tc>
        <w:tc>
          <w:tcPr>
            <w:tcW w:w="611" w:type="pct"/>
            <w:tcBorders>
              <w:top w:val="nil"/>
              <w:left w:val="nil"/>
              <w:bottom w:val="single" w:color="auto" w:sz="4" w:space="0"/>
              <w:right w:val="single" w:color="auto" w:sz="4" w:space="0"/>
            </w:tcBorders>
            <w:shd w:val="clear" w:color="auto" w:fill="auto"/>
            <w:noWrap/>
            <w:vAlign w:val="center"/>
          </w:tcPr>
          <w:p w14:paraId="2AA6AE6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10.8</w:t>
            </w:r>
          </w:p>
        </w:tc>
        <w:tc>
          <w:tcPr>
            <w:tcW w:w="612" w:type="pct"/>
            <w:tcBorders>
              <w:top w:val="nil"/>
              <w:left w:val="nil"/>
              <w:bottom w:val="single" w:color="auto" w:sz="4" w:space="0"/>
              <w:right w:val="single" w:color="auto" w:sz="4" w:space="0"/>
            </w:tcBorders>
            <w:shd w:val="clear" w:color="auto" w:fill="auto"/>
            <w:noWrap/>
            <w:vAlign w:val="center"/>
          </w:tcPr>
          <w:p w14:paraId="3BFBAE8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4.2</w:t>
            </w:r>
          </w:p>
        </w:tc>
        <w:tc>
          <w:tcPr>
            <w:tcW w:w="611" w:type="pct"/>
            <w:tcBorders>
              <w:top w:val="nil"/>
              <w:left w:val="nil"/>
              <w:bottom w:val="single" w:color="auto" w:sz="4" w:space="0"/>
              <w:right w:val="single" w:color="auto" w:sz="4" w:space="0"/>
            </w:tcBorders>
            <w:shd w:val="clear" w:color="auto" w:fill="auto"/>
            <w:noWrap/>
            <w:vAlign w:val="center"/>
          </w:tcPr>
          <w:p w14:paraId="16119F8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23.4</w:t>
            </w:r>
          </w:p>
        </w:tc>
        <w:tc>
          <w:tcPr>
            <w:tcW w:w="612" w:type="pct"/>
            <w:tcBorders>
              <w:top w:val="nil"/>
              <w:left w:val="nil"/>
              <w:bottom w:val="single" w:color="auto" w:sz="4" w:space="0"/>
            </w:tcBorders>
            <w:shd w:val="clear" w:color="auto" w:fill="auto"/>
            <w:noWrap/>
            <w:vAlign w:val="center"/>
          </w:tcPr>
          <w:p w14:paraId="340EA0D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14.7</w:t>
            </w:r>
          </w:p>
        </w:tc>
      </w:tr>
      <w:tr w14:paraId="3E69EC87">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38" w:type="pct"/>
            <w:vMerge w:val="continue"/>
            <w:tcBorders>
              <w:top w:val="nil"/>
              <w:right w:val="single" w:color="auto" w:sz="4" w:space="0"/>
            </w:tcBorders>
            <w:shd w:val="clear" w:color="auto" w:fill="auto"/>
            <w:noWrap w:val="0"/>
            <w:vAlign w:val="center"/>
          </w:tcPr>
          <w:p w14:paraId="20171996">
            <w:pPr>
              <w:pStyle w:val="17"/>
              <w:kinsoku/>
              <w:wordWrap/>
              <w:topLinePunct w:val="0"/>
              <w:autoSpaceDE/>
              <w:autoSpaceDN/>
              <w:bidi w:val="0"/>
              <w:adjustRightInd/>
              <w:snapToGrid/>
              <w:textAlignment w:val="auto"/>
              <w:rPr>
                <w:rFonts w:hint="default" w:ascii="Times New Roman" w:hAnsi="Times New Roman" w:cs="Times New Roman"/>
              </w:rPr>
            </w:pPr>
          </w:p>
        </w:tc>
        <w:tc>
          <w:tcPr>
            <w:tcW w:w="364" w:type="pct"/>
            <w:tcBorders>
              <w:top w:val="nil"/>
              <w:left w:val="nil"/>
              <w:right w:val="single" w:color="auto" w:sz="4" w:space="0"/>
            </w:tcBorders>
            <w:shd w:val="clear" w:color="auto" w:fill="auto"/>
            <w:noWrap/>
            <w:vAlign w:val="center"/>
          </w:tcPr>
          <w:p w14:paraId="379DEE1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26</w:t>
            </w:r>
          </w:p>
        </w:tc>
        <w:tc>
          <w:tcPr>
            <w:tcW w:w="885" w:type="pct"/>
            <w:tcBorders>
              <w:top w:val="nil"/>
              <w:left w:val="nil"/>
              <w:right w:val="single" w:color="auto" w:sz="4" w:space="0"/>
            </w:tcBorders>
            <w:shd w:val="clear" w:color="auto" w:fill="auto"/>
            <w:noWrap/>
            <w:vAlign w:val="center"/>
          </w:tcPr>
          <w:p w14:paraId="0A67F53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大黑松沟</w:t>
            </w:r>
          </w:p>
        </w:tc>
        <w:tc>
          <w:tcPr>
            <w:tcW w:w="763" w:type="pct"/>
            <w:tcBorders>
              <w:top w:val="nil"/>
              <w:left w:val="nil"/>
              <w:right w:val="single" w:color="auto" w:sz="4" w:space="0"/>
            </w:tcBorders>
            <w:shd w:val="clear" w:color="auto" w:fill="auto"/>
            <w:noWrap/>
            <w:vAlign w:val="center"/>
          </w:tcPr>
          <w:p w14:paraId="2DF03D2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18.5</w:t>
            </w:r>
          </w:p>
        </w:tc>
        <w:tc>
          <w:tcPr>
            <w:tcW w:w="611" w:type="pct"/>
            <w:tcBorders>
              <w:top w:val="nil"/>
              <w:left w:val="nil"/>
              <w:right w:val="single" w:color="auto" w:sz="4" w:space="0"/>
            </w:tcBorders>
            <w:shd w:val="clear" w:color="auto" w:fill="auto"/>
            <w:noWrap/>
            <w:vAlign w:val="center"/>
          </w:tcPr>
          <w:p w14:paraId="7F801B6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7.7</w:t>
            </w:r>
          </w:p>
        </w:tc>
        <w:tc>
          <w:tcPr>
            <w:tcW w:w="612" w:type="pct"/>
            <w:tcBorders>
              <w:top w:val="nil"/>
              <w:left w:val="nil"/>
              <w:right w:val="single" w:color="auto" w:sz="4" w:space="0"/>
            </w:tcBorders>
            <w:shd w:val="clear" w:color="auto" w:fill="auto"/>
            <w:noWrap/>
            <w:vAlign w:val="center"/>
          </w:tcPr>
          <w:p w14:paraId="10C9041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6.9</w:t>
            </w:r>
          </w:p>
        </w:tc>
        <w:tc>
          <w:tcPr>
            <w:tcW w:w="611" w:type="pct"/>
            <w:tcBorders>
              <w:top w:val="nil"/>
              <w:left w:val="nil"/>
              <w:right w:val="single" w:color="auto" w:sz="4" w:space="0"/>
            </w:tcBorders>
            <w:shd w:val="clear" w:color="auto" w:fill="auto"/>
            <w:noWrap/>
            <w:vAlign w:val="center"/>
          </w:tcPr>
          <w:p w14:paraId="7D68C0E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50.3</w:t>
            </w:r>
          </w:p>
        </w:tc>
        <w:tc>
          <w:tcPr>
            <w:tcW w:w="612" w:type="pct"/>
            <w:tcBorders>
              <w:top w:val="nil"/>
              <w:left w:val="nil"/>
            </w:tcBorders>
            <w:shd w:val="clear" w:color="auto" w:fill="auto"/>
            <w:noWrap/>
            <w:vAlign w:val="center"/>
          </w:tcPr>
          <w:p w14:paraId="6E47911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41.6</w:t>
            </w:r>
          </w:p>
        </w:tc>
      </w:tr>
    </w:tbl>
    <w:p w14:paraId="18CD359A">
      <w:pPr>
        <w:kinsoku/>
        <w:wordWrap/>
        <w:topLinePunct w:val="0"/>
        <w:autoSpaceDE/>
        <w:autoSpaceDN/>
        <w:bidi w:val="0"/>
        <w:adjustRightInd/>
        <w:snapToGrid/>
        <w:textAlignment w:val="auto"/>
        <w:rPr>
          <w:rFonts w:hint="default" w:ascii="Times New Roman" w:hAnsi="Times New Roman" w:cs="Times New Roman"/>
        </w:rPr>
      </w:pPr>
    </w:p>
    <w:p w14:paraId="6022A842">
      <w:pPr>
        <w:kinsoku/>
        <w:wordWrap/>
        <w:topLinePunct w:val="0"/>
        <w:autoSpaceDE/>
        <w:autoSpaceDN/>
        <w:bidi w:val="0"/>
        <w:adjustRightInd/>
        <w:snapToGrid/>
        <w:textAlignment w:val="auto"/>
        <w:rPr>
          <w:rFonts w:hint="default" w:ascii="Times New Roman" w:hAnsi="Times New Roman" w:cs="Times New Roman"/>
        </w:rPr>
        <w:sectPr>
          <w:pgSz w:w="11906" w:h="16838"/>
          <w:pgMar w:top="1440" w:right="1800" w:bottom="1440" w:left="1800" w:header="851" w:footer="992" w:gutter="0"/>
          <w:pgNumType w:fmt="numberInDash"/>
          <w:cols w:space="0" w:num="1"/>
          <w:rtlGutter w:val="0"/>
          <w:docGrid w:type="lines" w:linePitch="332" w:charSpace="0"/>
        </w:sectPr>
      </w:pPr>
      <w:r>
        <w:rPr>
          <w:rFonts w:hint="default" w:ascii="Times New Roman" w:hAnsi="Times New Roman" w:cs="Times New Roman"/>
        </w:rPr>
        <w:t>江源区水系见下图。</w:t>
      </w:r>
    </w:p>
    <w:p w14:paraId="6FDF6760">
      <w:pPr>
        <w:pStyle w:val="16"/>
        <w:bidi w:val="0"/>
        <w:rPr>
          <w:rFonts w:hint="default"/>
        </w:rPr>
      </w:pPr>
      <w:bookmarkStart w:id="8" w:name="_Toc82172394"/>
      <w:r>
        <w:rPr>
          <w:rFonts w:hint="default"/>
        </w:rPr>
        <w:drawing>
          <wp:inline distT="0" distB="0" distL="114300" distR="114300">
            <wp:extent cx="7199630" cy="4784725"/>
            <wp:effectExtent l="0" t="0" r="1270" b="1587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7199630" cy="4784725"/>
                    </a:xfrm>
                    <a:prstGeom prst="rect">
                      <a:avLst/>
                    </a:prstGeom>
                    <a:noFill/>
                    <a:ln>
                      <a:noFill/>
                    </a:ln>
                  </pic:spPr>
                </pic:pic>
              </a:graphicData>
            </a:graphic>
          </wp:inline>
        </w:drawing>
      </w:r>
    </w:p>
    <w:p w14:paraId="482C73CF">
      <w:pPr>
        <w:pStyle w:val="16"/>
        <w:bidi w:val="0"/>
        <w:rPr>
          <w:rFonts w:hint="default"/>
          <w:lang w:val="en-US" w:eastAsia="zh-CN"/>
        </w:rPr>
        <w:sectPr>
          <w:pgSz w:w="16838" w:h="11906" w:orient="landscape"/>
          <w:pgMar w:top="1800" w:right="1440" w:bottom="1800" w:left="1440" w:header="851" w:footer="992" w:gutter="0"/>
          <w:pgNumType w:fmt="numberInDash"/>
          <w:cols w:space="0" w:num="1"/>
          <w:rtlGutter w:val="0"/>
          <w:docGrid w:type="lines" w:linePitch="332" w:charSpace="0"/>
        </w:sectPr>
      </w:pPr>
      <w:r>
        <w:rPr>
          <w:rFonts w:hint="eastAsia"/>
          <w:lang w:val="en-US" w:eastAsia="zh-CN"/>
        </w:rPr>
        <w:t>图1-1江源区水系图</w:t>
      </w:r>
    </w:p>
    <w:p w14:paraId="3D82B288">
      <w:pPr>
        <w:pStyle w:val="5"/>
        <w:bidi w:val="0"/>
        <w:rPr>
          <w:rFonts w:hint="default"/>
        </w:rPr>
      </w:pPr>
      <w:r>
        <w:rPr>
          <w:rFonts w:hint="default"/>
        </w:rPr>
        <w:t>地形地貌</w:t>
      </w:r>
      <w:bookmarkEnd w:id="8"/>
    </w:p>
    <w:p w14:paraId="0BAE0B5E">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江源区地势复杂，河流蜿蜒，沟谷交错，境内有老岭山脉和龙岗山脉。老岭山脉呈北东向贯穿县区，为江源区与临江市分界岭。龙岗山脉呈东西向贯穿县区。境内有头道松花江、浑江两大水系，130余条河流。龙岗山脉和老岭山脉为中低山区，而头道松花江、浑江两大</w:t>
      </w:r>
      <w:r>
        <w:rPr>
          <w:rFonts w:hint="eastAsia" w:cs="Times New Roman"/>
          <w:lang w:val="en-US" w:eastAsia="zh-CN"/>
        </w:rPr>
        <w:t>水系</w:t>
      </w:r>
      <w:r>
        <w:rPr>
          <w:rFonts w:hint="default" w:ascii="Times New Roman" w:hAnsi="Times New Roman" w:cs="Times New Roman"/>
        </w:rPr>
        <w:t>为低山窄谷区。</w:t>
      </w:r>
    </w:p>
    <w:p w14:paraId="6F85B242">
      <w:pPr>
        <w:pStyle w:val="5"/>
        <w:bidi w:val="0"/>
        <w:rPr>
          <w:rFonts w:hint="default"/>
        </w:rPr>
      </w:pPr>
      <w:bookmarkStart w:id="9" w:name="_Toc82172395"/>
      <w:bookmarkStart w:id="10" w:name="_Toc49301881"/>
      <w:r>
        <w:rPr>
          <w:rFonts w:hint="default"/>
        </w:rPr>
        <w:t>气候</w:t>
      </w:r>
      <w:bookmarkEnd w:id="9"/>
      <w:bookmarkEnd w:id="10"/>
    </w:p>
    <w:p w14:paraId="6262B100">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江源区地处中纬度内陆山区，属北温带大陆性东亚季风气候。冬季长，寒冷，多偏北风；春季时间短，昼夜温差大，多西南风；夏季湿热多雨，秋季凉爽，多晴朗天气。由于受寒潮的影响，初霜来的早，无霜期140d左右。年平均气温4℃左右，年平均降水量910mm左右，全年日照时数达2002h左右。</w:t>
      </w:r>
    </w:p>
    <w:p w14:paraId="2F9E7309">
      <w:pPr>
        <w:pStyle w:val="5"/>
        <w:bidi w:val="0"/>
        <w:rPr>
          <w:rFonts w:hint="default"/>
        </w:rPr>
      </w:pPr>
      <w:bookmarkStart w:id="11" w:name="_Toc49301882"/>
      <w:bookmarkStart w:id="12" w:name="_Toc82172397"/>
      <w:r>
        <w:rPr>
          <w:rFonts w:hint="default"/>
        </w:rPr>
        <w:t>土地利用</w:t>
      </w:r>
      <w:bookmarkEnd w:id="11"/>
      <w:r>
        <w:rPr>
          <w:rFonts w:hint="default"/>
        </w:rPr>
        <w:t>现状</w:t>
      </w:r>
      <w:bookmarkEnd w:id="12"/>
    </w:p>
    <w:p w14:paraId="7A5B54CF">
      <w:pPr>
        <w:kinsoku/>
        <w:wordWrap/>
        <w:topLinePunct w:val="0"/>
        <w:autoSpaceDE/>
        <w:autoSpaceDN/>
        <w:bidi w:val="0"/>
        <w:adjustRightInd/>
        <w:snapToGrid/>
        <w:textAlignment w:val="auto"/>
        <w:rPr>
          <w:rFonts w:hint="default" w:ascii="Times New Roman" w:hAnsi="Times New Roman" w:cs="Times New Roman"/>
        </w:rPr>
      </w:pPr>
      <w:r>
        <w:rPr>
          <w:rFonts w:hint="eastAsia" w:cs="Times New Roman"/>
          <w:lang w:eastAsia="zh-CN"/>
        </w:rPr>
        <w:t>江源区</w:t>
      </w:r>
      <w:r>
        <w:rPr>
          <w:rFonts w:hint="default" w:ascii="Times New Roman" w:hAnsi="Times New Roman" w:cs="Times New Roman"/>
        </w:rPr>
        <w:t>土地利用现状详见表</w:t>
      </w:r>
      <w:r>
        <w:rPr>
          <w:rFonts w:hint="eastAsia" w:cs="Times New Roman"/>
          <w:lang w:val="en-US" w:eastAsia="zh-CN"/>
        </w:rPr>
        <w:t>1</w:t>
      </w:r>
      <w:r>
        <w:rPr>
          <w:rFonts w:hint="default" w:ascii="Times New Roman" w:hAnsi="Times New Roman" w:cs="Times New Roman"/>
        </w:rPr>
        <w:t>-2及下图。</w:t>
      </w:r>
    </w:p>
    <w:p w14:paraId="44C7A079">
      <w:pPr>
        <w:pStyle w:val="16"/>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1</w:t>
      </w:r>
      <w:r>
        <w:rPr>
          <w:rFonts w:hint="default" w:ascii="Times New Roman" w:hAnsi="Times New Roman" w:cs="Times New Roman"/>
        </w:rPr>
        <w:t>-2江源区现状和规划土地利用结构表</w:t>
      </w:r>
    </w:p>
    <w:tbl>
      <w:tblPr>
        <w:tblStyle w:val="1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777"/>
        <w:gridCol w:w="2777"/>
        <w:gridCol w:w="2779"/>
      </w:tblGrid>
      <w:tr w14:paraId="37995F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rPr>
        <w:tc>
          <w:tcPr>
            <w:tcW w:w="1666" w:type="pct"/>
            <w:shd w:val="clear" w:color="auto" w:fill="auto"/>
            <w:tcMar>
              <w:top w:w="15" w:type="dxa"/>
              <w:left w:w="15" w:type="dxa"/>
              <w:right w:w="15" w:type="dxa"/>
            </w:tcMar>
            <w:vAlign w:val="center"/>
          </w:tcPr>
          <w:p w14:paraId="7634971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土地利用类型</w:t>
            </w:r>
          </w:p>
        </w:tc>
        <w:tc>
          <w:tcPr>
            <w:tcW w:w="1666" w:type="pct"/>
            <w:shd w:val="clear" w:color="auto" w:fill="auto"/>
            <w:tcMar>
              <w:top w:w="15" w:type="dxa"/>
              <w:left w:w="15" w:type="dxa"/>
              <w:right w:w="15" w:type="dxa"/>
            </w:tcMar>
            <w:vAlign w:val="center"/>
          </w:tcPr>
          <w:p w14:paraId="7CC99A5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面积（公顷）</w:t>
            </w:r>
          </w:p>
        </w:tc>
        <w:tc>
          <w:tcPr>
            <w:tcW w:w="1667" w:type="pct"/>
            <w:shd w:val="clear" w:color="auto" w:fill="auto"/>
            <w:tcMar>
              <w:top w:w="15" w:type="dxa"/>
              <w:left w:w="15" w:type="dxa"/>
              <w:right w:w="15" w:type="dxa"/>
            </w:tcMar>
            <w:vAlign w:val="center"/>
          </w:tcPr>
          <w:p w14:paraId="10D29A7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占国土面积比例（%）</w:t>
            </w:r>
          </w:p>
        </w:tc>
      </w:tr>
      <w:tr w14:paraId="033382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666" w:type="pct"/>
            <w:shd w:val="clear" w:color="auto" w:fill="auto"/>
            <w:tcMar>
              <w:top w:w="15" w:type="dxa"/>
              <w:left w:w="15" w:type="dxa"/>
              <w:right w:w="15" w:type="dxa"/>
            </w:tcMar>
            <w:vAlign w:val="center"/>
          </w:tcPr>
          <w:p w14:paraId="53375C3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耕地01</w:t>
            </w:r>
          </w:p>
        </w:tc>
        <w:tc>
          <w:tcPr>
            <w:tcW w:w="1666" w:type="pct"/>
            <w:shd w:val="clear" w:color="auto" w:fill="auto"/>
            <w:tcMar>
              <w:top w:w="15" w:type="dxa"/>
              <w:left w:w="15" w:type="dxa"/>
              <w:right w:w="15" w:type="dxa"/>
            </w:tcMar>
            <w:vAlign w:val="center"/>
          </w:tcPr>
          <w:p w14:paraId="605A66A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12860.13</w:t>
            </w:r>
          </w:p>
        </w:tc>
        <w:tc>
          <w:tcPr>
            <w:tcW w:w="1667" w:type="pct"/>
            <w:shd w:val="clear" w:color="auto" w:fill="auto"/>
            <w:tcMar>
              <w:top w:w="15" w:type="dxa"/>
              <w:left w:w="15" w:type="dxa"/>
              <w:right w:w="15" w:type="dxa"/>
            </w:tcMar>
            <w:vAlign w:val="center"/>
          </w:tcPr>
          <w:p w14:paraId="725F498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9.5</w:t>
            </w:r>
          </w:p>
        </w:tc>
      </w:tr>
      <w:tr w14:paraId="1F901A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666" w:type="pct"/>
            <w:shd w:val="clear" w:color="auto" w:fill="auto"/>
            <w:tcMar>
              <w:top w:w="15" w:type="dxa"/>
              <w:left w:w="15" w:type="dxa"/>
              <w:right w:w="15" w:type="dxa"/>
            </w:tcMar>
            <w:vAlign w:val="center"/>
          </w:tcPr>
          <w:p w14:paraId="12A136A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园地02</w:t>
            </w:r>
          </w:p>
        </w:tc>
        <w:tc>
          <w:tcPr>
            <w:tcW w:w="1666" w:type="pct"/>
            <w:shd w:val="clear" w:color="auto" w:fill="auto"/>
            <w:tcMar>
              <w:top w:w="15" w:type="dxa"/>
              <w:left w:w="15" w:type="dxa"/>
              <w:right w:w="15" w:type="dxa"/>
            </w:tcMar>
            <w:vAlign w:val="center"/>
          </w:tcPr>
          <w:p w14:paraId="043E1DD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339.86</w:t>
            </w:r>
          </w:p>
        </w:tc>
        <w:tc>
          <w:tcPr>
            <w:tcW w:w="1667" w:type="pct"/>
            <w:shd w:val="clear" w:color="auto" w:fill="auto"/>
            <w:tcMar>
              <w:top w:w="15" w:type="dxa"/>
              <w:left w:w="15" w:type="dxa"/>
              <w:right w:w="15" w:type="dxa"/>
            </w:tcMar>
            <w:vAlign w:val="center"/>
          </w:tcPr>
          <w:p w14:paraId="134ACAF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0.3</w:t>
            </w:r>
          </w:p>
        </w:tc>
      </w:tr>
      <w:tr w14:paraId="13CC3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666" w:type="pct"/>
            <w:shd w:val="clear" w:color="auto" w:fill="auto"/>
            <w:tcMar>
              <w:top w:w="15" w:type="dxa"/>
              <w:left w:w="15" w:type="dxa"/>
              <w:right w:w="15" w:type="dxa"/>
            </w:tcMar>
            <w:vAlign w:val="center"/>
          </w:tcPr>
          <w:p w14:paraId="77EDB28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林地03</w:t>
            </w:r>
          </w:p>
        </w:tc>
        <w:tc>
          <w:tcPr>
            <w:tcW w:w="1666" w:type="pct"/>
            <w:shd w:val="clear" w:color="auto" w:fill="auto"/>
            <w:tcMar>
              <w:top w:w="15" w:type="dxa"/>
              <w:left w:w="15" w:type="dxa"/>
              <w:right w:w="15" w:type="dxa"/>
            </w:tcMar>
            <w:vAlign w:val="center"/>
          </w:tcPr>
          <w:p w14:paraId="367BE7C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114157.44</w:t>
            </w:r>
          </w:p>
        </w:tc>
        <w:tc>
          <w:tcPr>
            <w:tcW w:w="1667" w:type="pct"/>
            <w:shd w:val="clear" w:color="auto" w:fill="auto"/>
            <w:tcMar>
              <w:top w:w="15" w:type="dxa"/>
              <w:left w:w="15" w:type="dxa"/>
              <w:right w:w="15" w:type="dxa"/>
            </w:tcMar>
            <w:vAlign w:val="center"/>
          </w:tcPr>
          <w:p w14:paraId="7EECBC7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84.7</w:t>
            </w:r>
          </w:p>
        </w:tc>
      </w:tr>
      <w:tr w14:paraId="2ED6A0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666" w:type="pct"/>
            <w:shd w:val="clear" w:color="auto" w:fill="auto"/>
            <w:tcMar>
              <w:top w:w="15" w:type="dxa"/>
              <w:left w:w="15" w:type="dxa"/>
              <w:right w:w="15" w:type="dxa"/>
            </w:tcMar>
            <w:vAlign w:val="center"/>
          </w:tcPr>
          <w:p w14:paraId="55D47CA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草地04</w:t>
            </w:r>
          </w:p>
        </w:tc>
        <w:tc>
          <w:tcPr>
            <w:tcW w:w="1666" w:type="pct"/>
            <w:shd w:val="clear" w:color="auto" w:fill="auto"/>
            <w:tcMar>
              <w:top w:w="15" w:type="dxa"/>
              <w:left w:w="15" w:type="dxa"/>
              <w:right w:w="15" w:type="dxa"/>
            </w:tcMar>
            <w:vAlign w:val="center"/>
          </w:tcPr>
          <w:p w14:paraId="3931144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907.44</w:t>
            </w:r>
          </w:p>
        </w:tc>
        <w:tc>
          <w:tcPr>
            <w:tcW w:w="1667" w:type="pct"/>
            <w:shd w:val="clear" w:color="auto" w:fill="auto"/>
            <w:tcMar>
              <w:top w:w="15" w:type="dxa"/>
              <w:left w:w="15" w:type="dxa"/>
              <w:right w:w="15" w:type="dxa"/>
            </w:tcMar>
            <w:vAlign w:val="center"/>
          </w:tcPr>
          <w:p w14:paraId="4262840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0.7</w:t>
            </w:r>
          </w:p>
        </w:tc>
      </w:tr>
      <w:tr w14:paraId="551B67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666" w:type="pct"/>
            <w:shd w:val="clear" w:color="auto" w:fill="auto"/>
            <w:tcMar>
              <w:top w:w="15" w:type="dxa"/>
              <w:left w:w="15" w:type="dxa"/>
              <w:right w:w="15" w:type="dxa"/>
            </w:tcMar>
            <w:vAlign w:val="center"/>
          </w:tcPr>
          <w:p w14:paraId="441209B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城镇村及工矿用地（05-09）</w:t>
            </w:r>
          </w:p>
        </w:tc>
        <w:tc>
          <w:tcPr>
            <w:tcW w:w="1666" w:type="pct"/>
            <w:shd w:val="clear" w:color="auto" w:fill="auto"/>
            <w:tcMar>
              <w:top w:w="15" w:type="dxa"/>
              <w:left w:w="15" w:type="dxa"/>
              <w:right w:w="15" w:type="dxa"/>
            </w:tcMar>
            <w:vAlign w:val="center"/>
          </w:tcPr>
          <w:p w14:paraId="10D84B3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4031.49</w:t>
            </w:r>
          </w:p>
        </w:tc>
        <w:tc>
          <w:tcPr>
            <w:tcW w:w="1667" w:type="pct"/>
            <w:shd w:val="clear" w:color="auto" w:fill="auto"/>
            <w:tcMar>
              <w:top w:w="15" w:type="dxa"/>
              <w:left w:w="15" w:type="dxa"/>
              <w:right w:w="15" w:type="dxa"/>
            </w:tcMar>
            <w:vAlign w:val="center"/>
          </w:tcPr>
          <w:p w14:paraId="03EC520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3</w:t>
            </w:r>
          </w:p>
        </w:tc>
      </w:tr>
      <w:tr w14:paraId="758336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666" w:type="pct"/>
            <w:shd w:val="clear" w:color="auto" w:fill="auto"/>
            <w:tcMar>
              <w:top w:w="15" w:type="dxa"/>
              <w:left w:w="15" w:type="dxa"/>
              <w:right w:w="15" w:type="dxa"/>
            </w:tcMar>
            <w:vAlign w:val="center"/>
          </w:tcPr>
          <w:p w14:paraId="427D8DD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交通运输用地（10）</w:t>
            </w:r>
          </w:p>
        </w:tc>
        <w:tc>
          <w:tcPr>
            <w:tcW w:w="1666" w:type="pct"/>
            <w:shd w:val="clear" w:color="auto" w:fill="auto"/>
            <w:tcMar>
              <w:top w:w="15" w:type="dxa"/>
              <w:left w:w="15" w:type="dxa"/>
              <w:right w:w="15" w:type="dxa"/>
            </w:tcMar>
            <w:vAlign w:val="center"/>
          </w:tcPr>
          <w:p w14:paraId="6DB0D9B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1382.53</w:t>
            </w:r>
          </w:p>
        </w:tc>
        <w:tc>
          <w:tcPr>
            <w:tcW w:w="1667" w:type="pct"/>
            <w:shd w:val="clear" w:color="auto" w:fill="auto"/>
            <w:tcMar>
              <w:top w:w="15" w:type="dxa"/>
              <w:left w:w="15" w:type="dxa"/>
              <w:right w:w="15" w:type="dxa"/>
            </w:tcMar>
            <w:vAlign w:val="center"/>
          </w:tcPr>
          <w:p w14:paraId="293A2A2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1</w:t>
            </w:r>
          </w:p>
        </w:tc>
      </w:tr>
      <w:tr w14:paraId="10EEEE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666" w:type="pct"/>
            <w:shd w:val="clear" w:color="auto" w:fill="auto"/>
            <w:tcMar>
              <w:top w:w="15" w:type="dxa"/>
              <w:left w:w="15" w:type="dxa"/>
              <w:right w:w="15" w:type="dxa"/>
            </w:tcMar>
            <w:vAlign w:val="center"/>
          </w:tcPr>
          <w:p w14:paraId="4E54BB1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水利及水域设施用地（11）</w:t>
            </w:r>
          </w:p>
        </w:tc>
        <w:tc>
          <w:tcPr>
            <w:tcW w:w="1666" w:type="pct"/>
            <w:shd w:val="clear" w:color="auto" w:fill="auto"/>
            <w:tcMar>
              <w:top w:w="15" w:type="dxa"/>
              <w:left w:w="15" w:type="dxa"/>
              <w:right w:w="15" w:type="dxa"/>
            </w:tcMar>
            <w:vAlign w:val="center"/>
          </w:tcPr>
          <w:p w14:paraId="55C2A91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881.15</w:t>
            </w:r>
          </w:p>
        </w:tc>
        <w:tc>
          <w:tcPr>
            <w:tcW w:w="1667" w:type="pct"/>
            <w:shd w:val="clear" w:color="auto" w:fill="auto"/>
            <w:tcMar>
              <w:top w:w="15" w:type="dxa"/>
              <w:left w:w="15" w:type="dxa"/>
              <w:right w:w="15" w:type="dxa"/>
            </w:tcMar>
            <w:vAlign w:val="center"/>
          </w:tcPr>
          <w:p w14:paraId="1482D62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0.7</w:t>
            </w:r>
          </w:p>
        </w:tc>
      </w:tr>
      <w:tr w14:paraId="31F672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666" w:type="pct"/>
            <w:shd w:val="clear" w:color="auto" w:fill="auto"/>
            <w:tcMar>
              <w:top w:w="15" w:type="dxa"/>
              <w:left w:w="15" w:type="dxa"/>
              <w:right w:w="15" w:type="dxa"/>
            </w:tcMar>
            <w:vAlign w:val="center"/>
          </w:tcPr>
          <w:p w14:paraId="7D11DAA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其他用地（12）</w:t>
            </w:r>
          </w:p>
        </w:tc>
        <w:tc>
          <w:tcPr>
            <w:tcW w:w="1666" w:type="pct"/>
            <w:shd w:val="clear" w:color="auto" w:fill="auto"/>
            <w:tcMar>
              <w:top w:w="15" w:type="dxa"/>
              <w:left w:w="15" w:type="dxa"/>
              <w:right w:w="15" w:type="dxa"/>
            </w:tcMar>
            <w:vAlign w:val="center"/>
          </w:tcPr>
          <w:p w14:paraId="3F77220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149.07</w:t>
            </w:r>
          </w:p>
        </w:tc>
        <w:tc>
          <w:tcPr>
            <w:tcW w:w="1667" w:type="pct"/>
            <w:shd w:val="clear" w:color="auto" w:fill="auto"/>
            <w:tcMar>
              <w:top w:w="15" w:type="dxa"/>
              <w:left w:w="15" w:type="dxa"/>
              <w:right w:w="15" w:type="dxa"/>
            </w:tcMar>
            <w:vAlign w:val="center"/>
          </w:tcPr>
          <w:p w14:paraId="2755122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0.1</w:t>
            </w:r>
          </w:p>
        </w:tc>
      </w:tr>
      <w:tr w14:paraId="34850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666" w:type="pct"/>
            <w:shd w:val="clear" w:color="auto" w:fill="auto"/>
            <w:tcMar>
              <w:top w:w="15" w:type="dxa"/>
              <w:left w:w="15" w:type="dxa"/>
              <w:right w:w="15" w:type="dxa"/>
            </w:tcMar>
            <w:vAlign w:val="center"/>
          </w:tcPr>
          <w:p w14:paraId="7728C03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合计</w:t>
            </w:r>
          </w:p>
        </w:tc>
        <w:tc>
          <w:tcPr>
            <w:tcW w:w="1666" w:type="pct"/>
            <w:shd w:val="clear" w:color="auto" w:fill="auto"/>
            <w:tcMar>
              <w:top w:w="15" w:type="dxa"/>
              <w:left w:w="15" w:type="dxa"/>
              <w:right w:w="15" w:type="dxa"/>
            </w:tcMar>
            <w:vAlign w:val="center"/>
          </w:tcPr>
          <w:p w14:paraId="5ED0436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134709.1</w:t>
            </w:r>
          </w:p>
        </w:tc>
        <w:tc>
          <w:tcPr>
            <w:tcW w:w="1667" w:type="pct"/>
            <w:shd w:val="clear" w:color="auto" w:fill="auto"/>
            <w:tcMar>
              <w:top w:w="15" w:type="dxa"/>
              <w:left w:w="15" w:type="dxa"/>
              <w:right w:w="15" w:type="dxa"/>
            </w:tcMar>
            <w:vAlign w:val="center"/>
          </w:tcPr>
          <w:p w14:paraId="5E223E7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100</w:t>
            </w:r>
          </w:p>
        </w:tc>
      </w:tr>
    </w:tbl>
    <w:p w14:paraId="312A059A">
      <w:pPr>
        <w:pStyle w:val="16"/>
        <w:kinsoku/>
        <w:wordWrap/>
        <w:topLinePunct w:val="0"/>
        <w:autoSpaceDE/>
        <w:autoSpaceDN/>
        <w:bidi w:val="0"/>
        <w:adjustRightInd/>
        <w:snapToGrid/>
        <w:textAlignment w:val="auto"/>
        <w:rPr>
          <w:rFonts w:hint="default" w:ascii="Times New Roman" w:hAnsi="Times New Roman" w:cs="Times New Roman"/>
        </w:rPr>
      </w:pPr>
    </w:p>
    <w:p w14:paraId="45966894">
      <w:pPr>
        <w:pStyle w:val="16"/>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275580" cy="3587750"/>
            <wp:effectExtent l="0" t="0" r="1270" b="1270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9"/>
                    <a:stretch>
                      <a:fillRect/>
                    </a:stretch>
                  </pic:blipFill>
                  <pic:spPr>
                    <a:xfrm>
                      <a:off x="0" y="0"/>
                      <a:ext cx="5275580" cy="3587750"/>
                    </a:xfrm>
                    <a:prstGeom prst="rect">
                      <a:avLst/>
                    </a:prstGeom>
                    <a:noFill/>
                    <a:ln>
                      <a:noFill/>
                    </a:ln>
                  </pic:spPr>
                </pic:pic>
              </a:graphicData>
            </a:graphic>
          </wp:inline>
        </w:drawing>
      </w:r>
    </w:p>
    <w:p w14:paraId="0A8335B5">
      <w:pPr>
        <w:pStyle w:val="16"/>
        <w:bidi w:val="0"/>
        <w:rPr>
          <w:rFonts w:hint="default"/>
        </w:rPr>
      </w:pPr>
      <w:r>
        <w:rPr>
          <w:rFonts w:hint="eastAsia"/>
          <w:lang w:val="en-US" w:eastAsia="zh-CN"/>
        </w:rPr>
        <w:t>图1-2</w:t>
      </w:r>
      <w:r>
        <w:rPr>
          <w:rFonts w:hint="default"/>
        </w:rPr>
        <w:t>江源区土地利用现状图</w:t>
      </w:r>
    </w:p>
    <w:p w14:paraId="22578A53">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eastAsia="宋体" w:cs="Times New Roman"/>
          <w:color w:val="auto"/>
          <w:kern w:val="0"/>
          <w:sz w:val="24"/>
          <w:szCs w:val="24"/>
        </w:rPr>
        <w:t>由江源区土地利用现状图可见，林地多分布在山区，耕地、城镇村及工矿用地多分布在河谷平原地带，河谷地带人类活动较多。</w:t>
      </w:r>
    </w:p>
    <w:p w14:paraId="31F99374">
      <w:pPr>
        <w:pStyle w:val="4"/>
        <w:bidi w:val="0"/>
        <w:rPr>
          <w:rFonts w:hint="default"/>
        </w:rPr>
      </w:pPr>
      <w:bookmarkStart w:id="13" w:name="_Toc49301883"/>
      <w:bookmarkStart w:id="14" w:name="_Toc5974"/>
      <w:bookmarkStart w:id="15" w:name="_Toc82172396"/>
      <w:r>
        <w:rPr>
          <w:rFonts w:hint="default"/>
        </w:rPr>
        <w:t>社会经济</w:t>
      </w:r>
      <w:bookmarkEnd w:id="13"/>
      <w:r>
        <w:rPr>
          <w:rFonts w:hint="default"/>
        </w:rPr>
        <w:t>概况</w:t>
      </w:r>
      <w:bookmarkEnd w:id="14"/>
      <w:bookmarkEnd w:id="15"/>
    </w:p>
    <w:p w14:paraId="2F7347AF">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（1）行政区划</w:t>
      </w:r>
    </w:p>
    <w:p w14:paraId="33270653">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1994年1月31日浑江市更名为白山市，随之浑江市三岔子区更名白山市三岔子区，1995年12月30日经国务院批准白山市三岔子区改为吉林省江源县。2006年6月5日，国务院批准恢复设立白山市江源区。全区辖松树镇、湾沟镇、大阳岔镇、砟子镇、石人镇、大石人镇6个镇，孙家堡子街道、江源街道、城墙街道、正岔街道4个街道，60个行政村。</w:t>
      </w:r>
    </w:p>
    <w:p w14:paraId="7D3C32F4">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（2）国民产值</w:t>
      </w:r>
    </w:p>
    <w:p w14:paraId="42923576">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全年预计实现地区生产总值168亿元，同比增长4.1%，其中：一、二、三产业增加值预计分别完成8.2亿元、94.3亿元和65.5亿元，分别增长4.5%、0.5%和9.8%；预计完成地方级财政收入2.82亿元，与上年同口径相比基本持平；预计完成一般预算财政支出22.1亿元，与上年同口径相比增长13.1%；预计完成固定资产投资141亿元，同比略有增长；预计全社会消费品零售总额达到38.1亿元，同比增长7.1%。预计城镇常住居民人均可支配收入、农村常住居民人均纯收入分别达到21220元和13439元，同比增长6%和6.5%。项目支撑能力不断增强。全年开复工3000万元以上项目50个，完成投资46.7亿元。其中，丽欣花海、合庆痛风酒等19个亿元以上项目完成年度投资计划，裕达农产品深加工、林源春追溯系统等12个5000万元以上项目建成投产或试生产。人参皂苷Rg3系列制药、佰瑞医药园、修元寒武奥陶200万吨饮用天然泉水、金博集团乾一浓50万吨富锶矿泉水等一批项目的顺利实施，有效加快了生物医药、健康饮品等新兴接续产业的发展步伐，项目支撑经济转型的引擎作用进一步凸显。</w:t>
      </w:r>
    </w:p>
    <w:p w14:paraId="4FF7FA15">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rPr>
      </w:pPr>
      <w:bookmarkStart w:id="16" w:name="_Toc82172399"/>
    </w:p>
    <w:bookmarkEnd w:id="16"/>
    <w:p w14:paraId="25B05E58">
      <w:pPr>
        <w:pStyle w:val="4"/>
        <w:bidi w:val="0"/>
        <w:rPr>
          <w:rFonts w:hint="default"/>
        </w:rPr>
      </w:pPr>
      <w:bookmarkStart w:id="17" w:name="_Toc82172401"/>
      <w:bookmarkStart w:id="18" w:name="_Toc1156"/>
      <w:r>
        <w:rPr>
          <w:rFonts w:hint="default"/>
        </w:rPr>
        <w:t>控制单元划分</w:t>
      </w:r>
      <w:bookmarkEnd w:id="17"/>
      <w:bookmarkEnd w:id="18"/>
    </w:p>
    <w:p w14:paraId="37594BC1">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江源区涉及两大水系、三个控制单元，分别浑江水系的大阳岔控制单元、西村控制单元，松花江</w:t>
      </w:r>
      <w:r>
        <w:rPr>
          <w:rFonts w:hint="eastAsia" w:cs="Times New Roman"/>
          <w:lang w:val="en-US" w:eastAsia="zh-CN"/>
        </w:rPr>
        <w:t>水系</w:t>
      </w:r>
      <w:r>
        <w:rPr>
          <w:rFonts w:hint="default" w:ascii="Times New Roman" w:hAnsi="Times New Roman" w:cs="Times New Roman"/>
        </w:rPr>
        <w:t>的参乡一号桥控制单元。</w:t>
      </w:r>
    </w:p>
    <w:p w14:paraId="0DC8C5C0">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（1）江源（浑）/大阳岔控制单元</w:t>
      </w:r>
    </w:p>
    <w:p w14:paraId="2FC5E2D5">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江源（浑）/大阳岔汇水范围位于白山市江源区，其所在水体为浑江，汇水范围内包括江源（浑）、大阳岔2个控制断面。江源（浑）/大阳岔汇水范围涉及江源区4个乡镇级行政区，分别是城墙街道、孙家堡子街道、正岔街道和大阳岔镇，至2019年，该汇水范围内总人口为8.0043万人，其中城镇人口7.3545万人。江源（浑）/大阳岔汇水范围如下图所示。</w:t>
      </w:r>
    </w:p>
    <w:p w14:paraId="5ACFDF70">
      <w:pPr>
        <w:pStyle w:val="16"/>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4528820" cy="3333750"/>
            <wp:effectExtent l="0" t="0" r="508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0"/>
                    <a:stretch>
                      <a:fillRect/>
                    </a:stretch>
                  </pic:blipFill>
                  <pic:spPr>
                    <a:xfrm>
                      <a:off x="0" y="0"/>
                      <a:ext cx="4528820" cy="3333750"/>
                    </a:xfrm>
                    <a:prstGeom prst="rect">
                      <a:avLst/>
                    </a:prstGeom>
                    <a:noFill/>
                    <a:ln>
                      <a:noFill/>
                    </a:ln>
                  </pic:spPr>
                </pic:pic>
              </a:graphicData>
            </a:graphic>
          </wp:inline>
        </w:drawing>
      </w:r>
    </w:p>
    <w:p w14:paraId="22F24818">
      <w:pPr>
        <w:pStyle w:val="16"/>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图</w:t>
      </w:r>
      <w:r>
        <w:rPr>
          <w:rFonts w:hint="eastAsia" w:cs="Times New Roman"/>
          <w:lang w:val="en-US" w:eastAsia="zh-CN"/>
        </w:rPr>
        <w:t>1-3</w:t>
      </w:r>
      <w:r>
        <w:rPr>
          <w:rFonts w:hint="default" w:ascii="Times New Roman" w:hAnsi="Times New Roman" w:cs="Times New Roman"/>
        </w:rPr>
        <w:t>江源（浑）/大阳岔重点汇水范围示意图</w:t>
      </w:r>
    </w:p>
    <w:p w14:paraId="26F95DFF">
      <w:pPr>
        <w:kinsoku/>
        <w:wordWrap/>
        <w:topLinePunct w:val="0"/>
        <w:autoSpaceDE/>
        <w:autoSpaceDN/>
        <w:bidi w:val="0"/>
        <w:adjustRightInd/>
        <w:snapToGrid/>
        <w:textAlignment w:val="auto"/>
        <w:rPr>
          <w:rFonts w:hint="default" w:ascii="Times New Roman" w:hAnsi="Times New Roman" w:cs="Times New Roman"/>
        </w:rPr>
      </w:pPr>
    </w:p>
    <w:p w14:paraId="7F4518F7">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十三五”期间，江源（浑）/大阳岔2个断面水质有所提高，江源浑断面由Ⅲ类提升至Ⅱ类，大阳岔断面由Ⅱ类提升到Ⅰ类；江源（浑）/大阳岔断面汇水范围内无成型灌区，无鱼塘补水；工业增加值逐年降低，年均工业增加值为24.1587亿元，占白山市的8.39%，略低于白山市平均水平；无耕地，无牲畜养殖。未来五年工业、种植业和畜牧业的发展对区域水环境造成的压力较小。</w:t>
      </w:r>
    </w:p>
    <w:p w14:paraId="3F6CDB30">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十三五”期间，江源（浑）/大阳岔断面汇水范围内水资源总量有一定程度的增加，年均水资源总量为2.1422亿立方米，占白山市总量的2.52%，在全市水资源量最少。该汇水范围内有无水电站，对河流生态流量无影响。</w:t>
      </w:r>
    </w:p>
    <w:p w14:paraId="479D60F9">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（2）西村断面汇水范围</w:t>
      </w:r>
    </w:p>
    <w:p w14:paraId="21C67AD3">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西村汇水范围位于白山市浑江区及江源区部分区域，其所在水体为浑江，汇水范围内主要是西村控制断面。西村汇水范围涉及江源区4个乡镇级行政区（江源街道、大石人镇、石人镇、砟子镇）和浑江区11个乡镇级行政区（河口街道、板石街道、江北街道、东兴街道、城南街道、通沟街道、新建街道、红旗街道、七道江镇、六道江镇、红土崖镇）。至2019年，该汇水范围内总人口为38.0712万人，其中城镇人口31.9051万人。西村汇水范围如下图所示。</w:t>
      </w:r>
    </w:p>
    <w:p w14:paraId="4C622AD4">
      <w:pPr>
        <w:pStyle w:val="16"/>
        <w:bidi w:val="0"/>
        <w:rPr>
          <w:rFonts w:hint="eastAsia"/>
        </w:rPr>
      </w:pPr>
      <w:r>
        <w:rPr>
          <w:rFonts w:hint="eastAsia"/>
        </w:rPr>
        <w:drawing>
          <wp:inline distT="0" distB="0" distL="114300" distR="114300">
            <wp:extent cx="5111750" cy="3283585"/>
            <wp:effectExtent l="0" t="0" r="12700"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5111750" cy="3283585"/>
                    </a:xfrm>
                    <a:prstGeom prst="rect">
                      <a:avLst/>
                    </a:prstGeom>
                    <a:noFill/>
                    <a:ln>
                      <a:noFill/>
                    </a:ln>
                  </pic:spPr>
                </pic:pic>
              </a:graphicData>
            </a:graphic>
          </wp:inline>
        </w:drawing>
      </w:r>
    </w:p>
    <w:p w14:paraId="02719A1F">
      <w:pPr>
        <w:pStyle w:val="16"/>
        <w:bidi w:val="0"/>
      </w:pPr>
      <w:r>
        <w:rPr>
          <w:rFonts w:hint="eastAsia"/>
          <w:lang w:val="en-US" w:eastAsia="zh-CN"/>
        </w:rPr>
        <w:t>图1-4</w:t>
      </w:r>
      <w:r>
        <w:rPr>
          <w:rFonts w:hint="eastAsia"/>
        </w:rPr>
        <w:t>西村重点汇水范围示意图</w:t>
      </w:r>
    </w:p>
    <w:p w14:paraId="1F58AD48">
      <w:pPr>
        <w:bidi w:val="0"/>
        <w:rPr>
          <w:rFonts w:hint="default"/>
        </w:rPr>
      </w:pPr>
    </w:p>
    <w:p w14:paraId="7FF2F71E">
      <w:pPr>
        <w:bidi w:val="0"/>
        <w:rPr>
          <w:rFonts w:hint="default"/>
        </w:rPr>
      </w:pPr>
      <w:r>
        <w:rPr>
          <w:rFonts w:hint="default"/>
        </w:rPr>
        <w:t>“十三五”期间，西村断面基本稳定达到III类标准，但存在个别指标超标，2020年由于黑臭水体整治工程导致淤泥进入浑江干流，导致水体浑浊，短期内呈劣Ⅴ类水质；西村断面汇水范围内有小型灌区，总灌溉面积2.2227万亩，实际灌溉面积1.3677万亩，无鱼塘补水；年均工业增加值为95.4849亿元，占白山市的33.18%；年均耕地面积9.9519万亩，占白山市的10.54%；年均牲畜数量为9.2101万头，占白山市总量的22.16%；年均工业增加值和牲畜数量均为白山市最高，耕地面积略高于平均水平。2015年-2019年，该汇水范围内工业增加值和牲畜数量均大幅下降，且白山市145户规模化养殖场已完成粪污资源化利用设施建设，设施配套率88.28%，粪污资源化利用率达74.06%，畜禽养殖对水环境的影响也将进一步降低。因此，未来五年，工业和畜禽养殖的发展对区域水环境产生影响的可能性较小；耕地面积有较大幅度的提高，种植业发展将对区域水环境造成一定压力。</w:t>
      </w:r>
    </w:p>
    <w:p w14:paraId="124972F3">
      <w:pPr>
        <w:bidi w:val="0"/>
        <w:rPr>
          <w:rFonts w:hint="default"/>
        </w:rPr>
      </w:pPr>
      <w:r>
        <w:rPr>
          <w:rFonts w:hint="default"/>
        </w:rPr>
        <w:t>“十三五”期间，西村断面汇水范围内水资源总量有较高幅度的增加，年均水资源总量为5.6239亿立方米，占白山市总量的6.62%，低于平均水平。该汇水范围内有4个水电站，低于平均水平，对河流生态流量影响较小。</w:t>
      </w:r>
    </w:p>
    <w:p w14:paraId="08AD153F">
      <w:pPr>
        <w:bidi w:val="0"/>
        <w:rPr>
          <w:rFonts w:hint="default"/>
        </w:rPr>
        <w:sectPr>
          <w:pgSz w:w="11906" w:h="16838"/>
          <w:pgMar w:top="1440" w:right="1800" w:bottom="1440" w:left="1800" w:header="851" w:footer="992" w:gutter="0"/>
          <w:pgNumType w:fmt="numberInDash"/>
          <w:cols w:space="0" w:num="1"/>
          <w:rtlGutter w:val="0"/>
          <w:docGrid w:type="lines" w:linePitch="332" w:charSpace="0"/>
        </w:sectPr>
      </w:pPr>
    </w:p>
    <w:p w14:paraId="6646F141">
      <w:pPr>
        <w:bidi w:val="0"/>
        <w:rPr>
          <w:rFonts w:hint="default"/>
        </w:rPr>
      </w:pPr>
      <w:r>
        <w:rPr>
          <w:rFonts w:hint="default"/>
        </w:rPr>
        <w:t>（3）参乡一号桥</w:t>
      </w:r>
    </w:p>
    <w:p w14:paraId="5E773BFC">
      <w:pPr>
        <w:bidi w:val="0"/>
        <w:rPr>
          <w:rFonts w:hint="default"/>
        </w:rPr>
      </w:pPr>
      <w:r>
        <w:rPr>
          <w:rFonts w:hint="default"/>
        </w:rPr>
        <w:t>参乡一号桥汇水范围包括江源区2个乡镇（湾沟镇、松树镇）和抚松县2个乡镇（仙人桥镇、漫江镇），流域面积3873.86平方公里，9.1127万人。参乡一号桥汇水范围如下图所示。</w:t>
      </w:r>
    </w:p>
    <w:p w14:paraId="0E5EEF81">
      <w:pPr>
        <w:pStyle w:val="16"/>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166995" cy="3733165"/>
            <wp:effectExtent l="0" t="0" r="14605" b="63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2"/>
                    <a:stretch>
                      <a:fillRect/>
                    </a:stretch>
                  </pic:blipFill>
                  <pic:spPr>
                    <a:xfrm>
                      <a:off x="0" y="0"/>
                      <a:ext cx="5166995" cy="3733165"/>
                    </a:xfrm>
                    <a:prstGeom prst="rect">
                      <a:avLst/>
                    </a:prstGeom>
                    <a:noFill/>
                    <a:ln>
                      <a:noFill/>
                    </a:ln>
                  </pic:spPr>
                </pic:pic>
              </a:graphicData>
            </a:graphic>
          </wp:inline>
        </w:drawing>
      </w:r>
    </w:p>
    <w:p w14:paraId="4F2FE172">
      <w:pPr>
        <w:pStyle w:val="16"/>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val="en-US" w:eastAsia="zh-CN"/>
        </w:rPr>
        <w:t>图</w:t>
      </w:r>
      <w:r>
        <w:rPr>
          <w:rFonts w:hint="eastAsia" w:cs="Times New Roman"/>
          <w:lang w:val="en-US" w:eastAsia="zh-CN"/>
        </w:rPr>
        <w:t>1-5</w:t>
      </w:r>
      <w:r>
        <w:rPr>
          <w:rFonts w:hint="default" w:ascii="Times New Roman" w:hAnsi="Times New Roman" w:cs="Times New Roman"/>
        </w:rPr>
        <w:t>参乡一号桥重点汇水范围示意图</w:t>
      </w:r>
    </w:p>
    <w:p w14:paraId="5080A117">
      <w:pPr>
        <w:kinsoku/>
        <w:wordWrap/>
        <w:topLinePunct w:val="0"/>
        <w:autoSpaceDE/>
        <w:autoSpaceDN/>
        <w:bidi w:val="0"/>
        <w:adjustRightInd/>
        <w:snapToGrid/>
        <w:textAlignment w:val="auto"/>
        <w:rPr>
          <w:rFonts w:hint="default" w:ascii="Times New Roman" w:hAnsi="Times New Roman" w:cs="Times New Roman"/>
        </w:rPr>
      </w:pPr>
    </w:p>
    <w:p w14:paraId="138ABB99">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十三五”期间，参乡一号桥断面连续5年达到Ⅱ类标准；参乡一号桥断面汇水范围内无成型灌区，无鱼塘补水；年均工业增加值为24.5834亿元，占白山市的8.54%；年均耕地面积2.1885万亩，占白山市的2.32%；年均牲畜数量为0.8702万头，占白山市总量的2.09%。该汇水范围内工业增加值和牲畜数量逐年降低，且白山市145户规模化养殖场已完成粪污资源化利用设施建设，设施配套率88.28%，粪污资源化利用率达74.06%，因此畜禽养殖对水环境的影响也将进一步降低；未来五年工业、种植业和畜牧业的发展对区域水环境造成的压力较小。</w:t>
      </w:r>
    </w:p>
    <w:p w14:paraId="2689F689">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十三五”期间，参乡一号桥断面汇水范围内水资源总量有一定幅度的增加，年均水资源总量为11.0207亿立方米，占白山市总量的12.98%，高于平均水平。该汇水范围内有8个水电站，略低于平均水平，对河流生态流量有一定影响。</w:t>
      </w:r>
    </w:p>
    <w:p w14:paraId="2B0BEE8B">
      <w:pPr>
        <w:pStyle w:val="3"/>
        <w:bidi w:val="0"/>
        <w:rPr>
          <w:rFonts w:hint="default"/>
        </w:rPr>
      </w:pPr>
      <w:bookmarkStart w:id="19" w:name="_Toc30214"/>
      <w:bookmarkStart w:id="20" w:name="_Toc82172402"/>
      <w:r>
        <w:rPr>
          <w:rFonts w:hint="default"/>
        </w:rPr>
        <w:t>水环境质量现状</w:t>
      </w:r>
      <w:bookmarkEnd w:id="19"/>
      <w:bookmarkEnd w:id="20"/>
    </w:p>
    <w:p w14:paraId="7BD35473">
      <w:pPr>
        <w:pStyle w:val="4"/>
        <w:bidi w:val="0"/>
        <w:rPr>
          <w:rFonts w:hint="default"/>
        </w:rPr>
      </w:pPr>
      <w:bookmarkStart w:id="21" w:name="_Toc82172403"/>
      <w:bookmarkStart w:id="22" w:name="_Toc20496"/>
      <w:r>
        <w:rPr>
          <w:rFonts w:hint="default"/>
        </w:rPr>
        <w:t>河流水质现状</w:t>
      </w:r>
      <w:bookmarkEnd w:id="21"/>
      <w:bookmarkEnd w:id="22"/>
    </w:p>
    <w:p w14:paraId="118977D9">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（1）江源（浑）控制断面水环境质量现状</w:t>
      </w:r>
    </w:p>
    <w:p w14:paraId="21A896DB">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江源（浑）/大阳岔汇水范围内有两个考核断面，其中大阳岔断面为国控断面，考核水质为</w:t>
      </w:r>
      <w:r>
        <w:rPr>
          <w:rFonts w:hint="default" w:ascii="Times New Roman" w:hAnsi="Times New Roman" w:cs="Times New Roman"/>
        </w:rPr>
        <w:fldChar w:fldCharType="begin"/>
      </w:r>
      <w:r>
        <w:rPr>
          <w:rFonts w:hint="default" w:ascii="Times New Roman" w:hAnsi="Times New Roman" w:cs="Times New Roman"/>
        </w:rPr>
        <w:instrText xml:space="preserve"> = 2 \* ROMAN </w:instrText>
      </w:r>
      <w:r>
        <w:rPr>
          <w:rFonts w:hint="default" w:ascii="Times New Roman" w:hAnsi="Times New Roman" w:cs="Times New Roman"/>
        </w:rPr>
        <w:fldChar w:fldCharType="separate"/>
      </w:r>
      <w:r>
        <w:rPr>
          <w:rFonts w:hint="default" w:ascii="Times New Roman" w:hAnsi="Times New Roman" w:cs="Times New Roman"/>
        </w:rPr>
        <w:t>II</w:t>
      </w:r>
      <w:r>
        <w:rPr>
          <w:rFonts w:hint="default" w:ascii="Times New Roman" w:hAnsi="Times New Roman" w:cs="Times New Roman"/>
        </w:rPr>
        <w:fldChar w:fldCharType="end"/>
      </w:r>
      <w:r>
        <w:rPr>
          <w:rFonts w:hint="default" w:ascii="Times New Roman" w:hAnsi="Times New Roman" w:cs="Times New Roman"/>
        </w:rPr>
        <w:t>类，“十三五”期间水质年均值均保持</w:t>
      </w:r>
      <w:r>
        <w:rPr>
          <w:rFonts w:hint="default" w:ascii="Times New Roman" w:hAnsi="Times New Roman" w:cs="Times New Roman"/>
        </w:rPr>
        <w:fldChar w:fldCharType="begin"/>
      </w:r>
      <w:r>
        <w:rPr>
          <w:rFonts w:hint="default" w:ascii="Times New Roman" w:hAnsi="Times New Roman" w:cs="Times New Roman"/>
        </w:rPr>
        <w:instrText xml:space="preserve"> = 2 \* ROMAN </w:instrText>
      </w:r>
      <w:r>
        <w:rPr>
          <w:rFonts w:hint="default" w:ascii="Times New Roman" w:hAnsi="Times New Roman" w:cs="Times New Roman"/>
        </w:rPr>
        <w:fldChar w:fldCharType="separate"/>
      </w:r>
      <w:r>
        <w:rPr>
          <w:rFonts w:hint="default" w:ascii="Times New Roman" w:hAnsi="Times New Roman" w:cs="Times New Roman"/>
        </w:rPr>
        <w:t>II</w:t>
      </w:r>
      <w:r>
        <w:rPr>
          <w:rFonts w:hint="default" w:ascii="Times New Roman" w:hAnsi="Times New Roman" w:cs="Times New Roman"/>
        </w:rPr>
        <w:fldChar w:fldCharType="end"/>
      </w:r>
      <w:r>
        <w:rPr>
          <w:rFonts w:hint="default" w:ascii="Times New Roman" w:hAnsi="Times New Roman" w:cs="Times New Roman"/>
        </w:rPr>
        <w:t>类；江源（浑）断面为地表水省控断面，为“十三五”新增考核断面，水功能区的水质目标为</w:t>
      </w:r>
      <w:r>
        <w:rPr>
          <w:rFonts w:hint="default" w:ascii="Times New Roman" w:hAnsi="Times New Roman" w:cs="Times New Roman"/>
        </w:rPr>
        <w:fldChar w:fldCharType="begin"/>
      </w:r>
      <w:r>
        <w:rPr>
          <w:rFonts w:hint="default" w:ascii="Times New Roman" w:hAnsi="Times New Roman" w:cs="Times New Roman"/>
        </w:rPr>
        <w:instrText xml:space="preserve"> = 3 \* ROMAN </w:instrText>
      </w:r>
      <w:r>
        <w:rPr>
          <w:rFonts w:hint="default" w:ascii="Times New Roman" w:hAnsi="Times New Roman" w:cs="Times New Roman"/>
        </w:rPr>
        <w:fldChar w:fldCharType="separate"/>
      </w:r>
      <w:r>
        <w:rPr>
          <w:rFonts w:hint="default" w:ascii="Times New Roman" w:hAnsi="Times New Roman" w:cs="Times New Roman"/>
        </w:rPr>
        <w:t>III</w:t>
      </w:r>
      <w:r>
        <w:rPr>
          <w:rFonts w:hint="default" w:ascii="Times New Roman" w:hAnsi="Times New Roman" w:cs="Times New Roman"/>
        </w:rPr>
        <w:fldChar w:fldCharType="end"/>
      </w:r>
      <w:r>
        <w:rPr>
          <w:rFonts w:hint="default" w:ascii="Times New Roman" w:hAnsi="Times New Roman" w:cs="Times New Roman"/>
        </w:rPr>
        <w:t>类，2018年3、5、6、9月份存在化学需氧量超标问题，超标倍数分别为0.1、0.2、0.1、0.25倍，2017年11月份和2018年3月存在总磷超标问题，超标倍数分别为0.1和0.4倍。</w:t>
      </w:r>
    </w:p>
    <w:p w14:paraId="409F7465">
      <w:pPr>
        <w:kinsoku/>
        <w:wordWrap/>
        <w:topLinePunct w:val="0"/>
        <w:autoSpaceDE/>
        <w:autoSpaceDN/>
        <w:bidi w:val="0"/>
        <w:adjustRightInd/>
        <w:snapToGrid/>
        <w:textAlignment w:val="auto"/>
        <w:rPr>
          <w:rFonts w:hint="default" w:ascii="Times New Roman" w:hAnsi="Times New Roman" w:eastAsia="宋体" w:cs="Times New Roman"/>
          <w:lang w:eastAsia="zh-CN"/>
        </w:rPr>
      </w:pPr>
      <w:r>
        <w:rPr>
          <w:rFonts w:hint="default" w:ascii="Times New Roman" w:hAnsi="Times New Roman" w:cs="Times New Roman"/>
        </w:rPr>
        <w:t>（2）西村控制</w:t>
      </w:r>
      <w:r>
        <w:rPr>
          <w:rFonts w:hint="default" w:ascii="Times New Roman" w:hAnsi="Times New Roman" w:cs="Times New Roman"/>
          <w:lang w:val="en-US" w:eastAsia="zh-CN"/>
        </w:rPr>
        <w:t>断面</w:t>
      </w:r>
      <w:r>
        <w:rPr>
          <w:rFonts w:hint="default" w:ascii="Times New Roman" w:hAnsi="Times New Roman" w:cs="Times New Roman"/>
        </w:rPr>
        <w:t>水环境质量现状</w:t>
      </w:r>
    </w:p>
    <w:p w14:paraId="76B05F45">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西村断面为地表水国控断面，“十三五”期间目标水质为III类，其中2015年水质状况为III类，2017-2019年为年均为III类，达到III类要求。</w:t>
      </w:r>
    </w:p>
    <w:p w14:paraId="2942213F">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eastAsia="zh-CN"/>
        </w:rPr>
      </w:pPr>
      <w:r>
        <w:rPr>
          <w:rFonts w:hint="default" w:ascii="Times New Roman" w:hAnsi="Times New Roman" w:cs="Times New Roman"/>
        </w:rPr>
        <w:t>2017年1月份高锰酸盐指数为8.31mg/L，未达到III类水要求，超标倍数为0.39；2016年6、10、11、12月和2017年1月份的化学需氧量21.01、25.31、21.61、24.63、27.6mg/L，未达到III类水要求，超标倍数为0.05、0.27、0.08、0.23、0.38</w:t>
      </w:r>
      <w:r>
        <w:rPr>
          <w:rFonts w:hint="default" w:ascii="Times New Roman" w:hAnsi="Times New Roman" w:cs="Times New Roman"/>
          <w:lang w:eastAsia="zh-CN"/>
        </w:rPr>
        <w:t>。</w:t>
      </w:r>
    </w:p>
    <w:p w14:paraId="276791C9">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rPr>
        <w:t>3</w:t>
      </w:r>
      <w:r>
        <w:rPr>
          <w:rFonts w:hint="default" w:ascii="Times New Roman" w:hAnsi="Times New Roman" w:cs="Times New Roman"/>
          <w:lang w:eastAsia="zh-CN"/>
        </w:rPr>
        <w:t>）</w:t>
      </w:r>
      <w:r>
        <w:rPr>
          <w:rFonts w:hint="default" w:ascii="Times New Roman" w:hAnsi="Times New Roman" w:cs="Times New Roman"/>
        </w:rPr>
        <w:t>参乡一号桥控制断面水质现状</w:t>
      </w:r>
    </w:p>
    <w:p w14:paraId="13C64F4C">
      <w:pPr>
        <w:kinsoku/>
        <w:wordWrap/>
        <w:topLinePunct w:val="0"/>
        <w:autoSpaceDE/>
        <w:autoSpaceDN/>
        <w:bidi w:val="0"/>
        <w:adjustRightInd/>
        <w:snapToGrid/>
        <w:textAlignment w:val="auto"/>
        <w:rPr>
          <w:rFonts w:hint="default" w:ascii="Times New Roman" w:hAnsi="Times New Roman" w:cs="Times New Roman"/>
        </w:rPr>
        <w:sectPr>
          <w:pgSz w:w="11906" w:h="16838"/>
          <w:pgMar w:top="1440" w:right="1800" w:bottom="1440" w:left="1800" w:header="851" w:footer="992" w:gutter="0"/>
          <w:pgNumType w:fmt="numberInDash"/>
          <w:cols w:space="0" w:num="1"/>
          <w:rtlGutter w:val="0"/>
          <w:docGrid w:type="lines" w:linePitch="332" w:charSpace="0"/>
        </w:sectPr>
      </w:pPr>
      <w:r>
        <w:rPr>
          <w:rFonts w:hint="default" w:ascii="Times New Roman" w:hAnsi="Times New Roman" w:cs="Times New Roman"/>
        </w:rPr>
        <w:t>参乡一号桥断面连续5年达到Ⅱ类标准。</w:t>
      </w:r>
    </w:p>
    <w:p w14:paraId="690346A2">
      <w:pPr>
        <w:pStyle w:val="16"/>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1-3</w:t>
      </w:r>
      <w:r>
        <w:rPr>
          <w:rFonts w:hint="default" w:ascii="Times New Roman" w:hAnsi="Times New Roman" w:cs="Times New Roman"/>
        </w:rPr>
        <w:t>江源（浑）/大阳岔断面年均水质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74"/>
        <w:gridCol w:w="1022"/>
        <w:gridCol w:w="1104"/>
        <w:gridCol w:w="1012"/>
        <w:gridCol w:w="1078"/>
        <w:gridCol w:w="1769"/>
        <w:gridCol w:w="1769"/>
        <w:gridCol w:w="837"/>
        <w:gridCol w:w="837"/>
        <w:gridCol w:w="837"/>
        <w:gridCol w:w="837"/>
        <w:gridCol w:w="837"/>
        <w:gridCol w:w="841"/>
      </w:tblGrid>
      <w:tr w14:paraId="2654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250" w:type="pct"/>
            <w:vMerge w:val="restart"/>
            <w:shd w:val="clear" w:color="auto" w:fill="auto"/>
            <w:noWrap w:val="0"/>
            <w:vAlign w:val="center"/>
          </w:tcPr>
          <w:p w14:paraId="628DECD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流域</w:t>
            </w:r>
          </w:p>
        </w:tc>
        <w:tc>
          <w:tcPr>
            <w:tcW w:w="379" w:type="pct"/>
            <w:vMerge w:val="restart"/>
            <w:shd w:val="clear" w:color="auto" w:fill="auto"/>
            <w:noWrap w:val="0"/>
            <w:vAlign w:val="center"/>
          </w:tcPr>
          <w:p w14:paraId="049A127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汇水范围</w:t>
            </w:r>
          </w:p>
        </w:tc>
        <w:tc>
          <w:tcPr>
            <w:tcW w:w="410" w:type="pct"/>
            <w:vMerge w:val="restart"/>
            <w:shd w:val="clear" w:color="auto" w:fill="auto"/>
            <w:noWrap w:val="0"/>
            <w:vAlign w:val="center"/>
          </w:tcPr>
          <w:p w14:paraId="478BC70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断面名称</w:t>
            </w:r>
          </w:p>
        </w:tc>
        <w:tc>
          <w:tcPr>
            <w:tcW w:w="375" w:type="pct"/>
            <w:vMerge w:val="restart"/>
            <w:shd w:val="clear" w:color="auto" w:fill="auto"/>
            <w:noWrap w:val="0"/>
            <w:vAlign w:val="center"/>
          </w:tcPr>
          <w:p w14:paraId="0AB559E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所在水体</w:t>
            </w:r>
          </w:p>
        </w:tc>
        <w:tc>
          <w:tcPr>
            <w:tcW w:w="400" w:type="pct"/>
            <w:vMerge w:val="restart"/>
            <w:shd w:val="clear" w:color="auto" w:fill="auto"/>
            <w:noWrap w:val="0"/>
            <w:vAlign w:val="center"/>
          </w:tcPr>
          <w:p w14:paraId="00C897B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断面级别</w:t>
            </w:r>
          </w:p>
        </w:tc>
        <w:tc>
          <w:tcPr>
            <w:tcW w:w="657" w:type="pct"/>
            <w:vMerge w:val="restart"/>
            <w:shd w:val="clear" w:color="auto" w:fill="auto"/>
            <w:noWrap w:val="0"/>
            <w:vAlign w:val="center"/>
          </w:tcPr>
          <w:p w14:paraId="18071B1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经度</w:t>
            </w:r>
          </w:p>
        </w:tc>
        <w:tc>
          <w:tcPr>
            <w:tcW w:w="657" w:type="pct"/>
            <w:vMerge w:val="restart"/>
            <w:shd w:val="clear" w:color="auto" w:fill="auto"/>
            <w:noWrap w:val="0"/>
            <w:vAlign w:val="center"/>
          </w:tcPr>
          <w:p w14:paraId="4C152C1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纬度</w:t>
            </w:r>
          </w:p>
        </w:tc>
        <w:tc>
          <w:tcPr>
            <w:tcW w:w="1867" w:type="pct"/>
            <w:gridSpan w:val="6"/>
            <w:shd w:val="clear" w:color="auto" w:fill="auto"/>
            <w:noWrap w:val="0"/>
            <w:vAlign w:val="center"/>
          </w:tcPr>
          <w:p w14:paraId="7FED8B4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水质状况</w:t>
            </w:r>
          </w:p>
        </w:tc>
      </w:tr>
      <w:tr w14:paraId="4050B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shd w:val="clear" w:color="auto" w:fill="auto"/>
            <w:noWrap w:val="0"/>
            <w:vAlign w:val="center"/>
          </w:tcPr>
          <w:p w14:paraId="3A97B403">
            <w:pPr>
              <w:pStyle w:val="17"/>
              <w:kinsoku/>
              <w:wordWrap/>
              <w:topLinePunct w:val="0"/>
              <w:autoSpaceDE/>
              <w:autoSpaceDN/>
              <w:bidi w:val="0"/>
              <w:adjustRightInd/>
              <w:snapToGrid/>
              <w:textAlignment w:val="auto"/>
              <w:rPr>
                <w:rFonts w:hint="default" w:ascii="Times New Roman" w:hAnsi="Times New Roman" w:cs="Times New Roman"/>
              </w:rPr>
            </w:pPr>
          </w:p>
        </w:tc>
        <w:tc>
          <w:tcPr>
            <w:tcW w:w="379" w:type="pct"/>
            <w:vMerge w:val="continue"/>
            <w:shd w:val="clear" w:color="auto" w:fill="auto"/>
            <w:noWrap w:val="0"/>
            <w:vAlign w:val="center"/>
          </w:tcPr>
          <w:p w14:paraId="491E6895">
            <w:pPr>
              <w:pStyle w:val="17"/>
              <w:kinsoku/>
              <w:wordWrap/>
              <w:topLinePunct w:val="0"/>
              <w:autoSpaceDE/>
              <w:autoSpaceDN/>
              <w:bidi w:val="0"/>
              <w:adjustRightInd/>
              <w:snapToGrid/>
              <w:textAlignment w:val="auto"/>
              <w:rPr>
                <w:rFonts w:hint="default" w:ascii="Times New Roman" w:hAnsi="Times New Roman" w:cs="Times New Roman"/>
              </w:rPr>
            </w:pPr>
          </w:p>
        </w:tc>
        <w:tc>
          <w:tcPr>
            <w:tcW w:w="410" w:type="pct"/>
            <w:vMerge w:val="continue"/>
            <w:shd w:val="clear" w:color="auto" w:fill="auto"/>
            <w:noWrap w:val="0"/>
            <w:vAlign w:val="center"/>
          </w:tcPr>
          <w:p w14:paraId="780D66E7">
            <w:pPr>
              <w:pStyle w:val="17"/>
              <w:kinsoku/>
              <w:wordWrap/>
              <w:topLinePunct w:val="0"/>
              <w:autoSpaceDE/>
              <w:autoSpaceDN/>
              <w:bidi w:val="0"/>
              <w:adjustRightInd/>
              <w:snapToGrid/>
              <w:textAlignment w:val="auto"/>
              <w:rPr>
                <w:rFonts w:hint="default" w:ascii="Times New Roman" w:hAnsi="Times New Roman" w:cs="Times New Roman"/>
              </w:rPr>
            </w:pPr>
          </w:p>
        </w:tc>
        <w:tc>
          <w:tcPr>
            <w:tcW w:w="375" w:type="pct"/>
            <w:vMerge w:val="continue"/>
            <w:shd w:val="clear" w:color="auto" w:fill="auto"/>
            <w:noWrap w:val="0"/>
            <w:vAlign w:val="center"/>
          </w:tcPr>
          <w:p w14:paraId="40323D57">
            <w:pPr>
              <w:pStyle w:val="17"/>
              <w:kinsoku/>
              <w:wordWrap/>
              <w:topLinePunct w:val="0"/>
              <w:autoSpaceDE/>
              <w:autoSpaceDN/>
              <w:bidi w:val="0"/>
              <w:adjustRightInd/>
              <w:snapToGrid/>
              <w:textAlignment w:val="auto"/>
              <w:rPr>
                <w:rFonts w:hint="default" w:ascii="Times New Roman" w:hAnsi="Times New Roman" w:cs="Times New Roman"/>
              </w:rPr>
            </w:pPr>
          </w:p>
        </w:tc>
        <w:tc>
          <w:tcPr>
            <w:tcW w:w="400" w:type="pct"/>
            <w:vMerge w:val="continue"/>
            <w:shd w:val="clear" w:color="auto" w:fill="auto"/>
            <w:noWrap w:val="0"/>
            <w:vAlign w:val="center"/>
          </w:tcPr>
          <w:p w14:paraId="52478190">
            <w:pPr>
              <w:pStyle w:val="17"/>
              <w:kinsoku/>
              <w:wordWrap/>
              <w:topLinePunct w:val="0"/>
              <w:autoSpaceDE/>
              <w:autoSpaceDN/>
              <w:bidi w:val="0"/>
              <w:adjustRightInd/>
              <w:snapToGrid/>
              <w:textAlignment w:val="auto"/>
              <w:rPr>
                <w:rFonts w:hint="default" w:ascii="Times New Roman" w:hAnsi="Times New Roman" w:cs="Times New Roman"/>
              </w:rPr>
            </w:pPr>
          </w:p>
        </w:tc>
        <w:tc>
          <w:tcPr>
            <w:tcW w:w="657" w:type="pct"/>
            <w:vMerge w:val="continue"/>
            <w:shd w:val="clear" w:color="auto" w:fill="auto"/>
            <w:noWrap w:val="0"/>
            <w:vAlign w:val="center"/>
          </w:tcPr>
          <w:p w14:paraId="01E1B95E">
            <w:pPr>
              <w:pStyle w:val="17"/>
              <w:kinsoku/>
              <w:wordWrap/>
              <w:topLinePunct w:val="0"/>
              <w:autoSpaceDE/>
              <w:autoSpaceDN/>
              <w:bidi w:val="0"/>
              <w:adjustRightInd/>
              <w:snapToGrid/>
              <w:textAlignment w:val="auto"/>
              <w:rPr>
                <w:rFonts w:hint="default" w:ascii="Times New Roman" w:hAnsi="Times New Roman" w:cs="Times New Roman"/>
              </w:rPr>
            </w:pPr>
          </w:p>
        </w:tc>
        <w:tc>
          <w:tcPr>
            <w:tcW w:w="657" w:type="pct"/>
            <w:vMerge w:val="continue"/>
            <w:shd w:val="clear" w:color="auto" w:fill="auto"/>
            <w:noWrap w:val="0"/>
            <w:vAlign w:val="center"/>
          </w:tcPr>
          <w:p w14:paraId="237F4C9F">
            <w:pPr>
              <w:pStyle w:val="17"/>
              <w:kinsoku/>
              <w:wordWrap/>
              <w:topLinePunct w:val="0"/>
              <w:autoSpaceDE/>
              <w:autoSpaceDN/>
              <w:bidi w:val="0"/>
              <w:adjustRightInd/>
              <w:snapToGrid/>
              <w:textAlignment w:val="auto"/>
              <w:rPr>
                <w:rFonts w:hint="default" w:ascii="Times New Roman" w:hAnsi="Times New Roman" w:cs="Times New Roman"/>
              </w:rPr>
            </w:pPr>
          </w:p>
        </w:tc>
        <w:tc>
          <w:tcPr>
            <w:tcW w:w="311" w:type="pct"/>
            <w:shd w:val="clear" w:color="auto" w:fill="auto"/>
            <w:noWrap w:val="0"/>
            <w:vAlign w:val="center"/>
          </w:tcPr>
          <w:p w14:paraId="37B612C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2015年</w:t>
            </w:r>
          </w:p>
        </w:tc>
        <w:tc>
          <w:tcPr>
            <w:tcW w:w="311" w:type="pct"/>
            <w:shd w:val="clear" w:color="auto" w:fill="auto"/>
            <w:noWrap w:val="0"/>
            <w:vAlign w:val="center"/>
          </w:tcPr>
          <w:p w14:paraId="268B8F3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2016年</w:t>
            </w:r>
          </w:p>
        </w:tc>
        <w:tc>
          <w:tcPr>
            <w:tcW w:w="311" w:type="pct"/>
            <w:shd w:val="clear" w:color="auto" w:fill="auto"/>
            <w:noWrap w:val="0"/>
            <w:vAlign w:val="center"/>
          </w:tcPr>
          <w:p w14:paraId="0FD8A98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2017年</w:t>
            </w:r>
          </w:p>
        </w:tc>
        <w:tc>
          <w:tcPr>
            <w:tcW w:w="311" w:type="pct"/>
            <w:shd w:val="clear" w:color="auto" w:fill="auto"/>
            <w:noWrap w:val="0"/>
            <w:vAlign w:val="center"/>
          </w:tcPr>
          <w:p w14:paraId="6FF05CA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2018年</w:t>
            </w:r>
          </w:p>
        </w:tc>
        <w:tc>
          <w:tcPr>
            <w:tcW w:w="311" w:type="pct"/>
            <w:shd w:val="clear" w:color="auto" w:fill="auto"/>
            <w:noWrap w:val="0"/>
            <w:vAlign w:val="center"/>
          </w:tcPr>
          <w:p w14:paraId="4A34FCF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2019年</w:t>
            </w:r>
          </w:p>
        </w:tc>
        <w:tc>
          <w:tcPr>
            <w:tcW w:w="312" w:type="pct"/>
            <w:shd w:val="clear" w:color="auto" w:fill="auto"/>
            <w:noWrap w:val="0"/>
            <w:vAlign w:val="center"/>
          </w:tcPr>
          <w:p w14:paraId="04C8121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2020年</w:t>
            </w:r>
          </w:p>
        </w:tc>
      </w:tr>
      <w:tr w14:paraId="27936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restart"/>
            <w:shd w:val="clear" w:color="auto" w:fill="auto"/>
            <w:noWrap w:val="0"/>
            <w:vAlign w:val="center"/>
          </w:tcPr>
          <w:p w14:paraId="451F557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辽河</w:t>
            </w:r>
          </w:p>
        </w:tc>
        <w:tc>
          <w:tcPr>
            <w:tcW w:w="379" w:type="pct"/>
            <w:vMerge w:val="restart"/>
            <w:shd w:val="clear" w:color="auto" w:fill="auto"/>
            <w:noWrap w:val="0"/>
            <w:vAlign w:val="center"/>
          </w:tcPr>
          <w:p w14:paraId="38C0A98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江源（浑）/大阳岔</w:t>
            </w:r>
          </w:p>
        </w:tc>
        <w:tc>
          <w:tcPr>
            <w:tcW w:w="410" w:type="pct"/>
            <w:shd w:val="clear" w:color="auto" w:fill="auto"/>
            <w:noWrap w:val="0"/>
            <w:vAlign w:val="center"/>
          </w:tcPr>
          <w:p w14:paraId="11710C3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江源（浑）</w:t>
            </w:r>
          </w:p>
        </w:tc>
        <w:tc>
          <w:tcPr>
            <w:tcW w:w="375" w:type="pct"/>
            <w:shd w:val="clear" w:color="auto" w:fill="auto"/>
            <w:noWrap w:val="0"/>
            <w:vAlign w:val="center"/>
          </w:tcPr>
          <w:p w14:paraId="325CA85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浑江</w:t>
            </w:r>
          </w:p>
        </w:tc>
        <w:tc>
          <w:tcPr>
            <w:tcW w:w="400" w:type="pct"/>
            <w:shd w:val="clear" w:color="auto" w:fill="auto"/>
            <w:noWrap w:val="0"/>
            <w:vAlign w:val="center"/>
          </w:tcPr>
          <w:p w14:paraId="555F0F2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省控</w:t>
            </w:r>
          </w:p>
        </w:tc>
        <w:tc>
          <w:tcPr>
            <w:tcW w:w="657" w:type="pct"/>
            <w:shd w:val="clear" w:color="auto" w:fill="auto"/>
            <w:noWrap w:val="0"/>
            <w:vAlign w:val="center"/>
          </w:tcPr>
          <w:p w14:paraId="2525E62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126°34′28.0″</w:t>
            </w:r>
          </w:p>
        </w:tc>
        <w:tc>
          <w:tcPr>
            <w:tcW w:w="657" w:type="pct"/>
            <w:shd w:val="clear" w:color="auto" w:fill="auto"/>
            <w:noWrap w:val="0"/>
            <w:vAlign w:val="center"/>
          </w:tcPr>
          <w:p w14:paraId="4E31CD5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42°02′40.0″</w:t>
            </w:r>
          </w:p>
        </w:tc>
        <w:tc>
          <w:tcPr>
            <w:tcW w:w="311" w:type="pct"/>
            <w:shd w:val="clear" w:color="auto" w:fill="auto"/>
            <w:noWrap w:val="0"/>
            <w:vAlign w:val="center"/>
          </w:tcPr>
          <w:p w14:paraId="0DC1A97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Ⅲ</w:t>
            </w:r>
          </w:p>
        </w:tc>
        <w:tc>
          <w:tcPr>
            <w:tcW w:w="311" w:type="pct"/>
            <w:shd w:val="clear" w:color="auto" w:fill="auto"/>
            <w:noWrap w:val="0"/>
            <w:vAlign w:val="center"/>
          </w:tcPr>
          <w:p w14:paraId="0C249E3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Ⅲ</w:t>
            </w:r>
          </w:p>
        </w:tc>
        <w:tc>
          <w:tcPr>
            <w:tcW w:w="311" w:type="pct"/>
            <w:shd w:val="clear" w:color="auto" w:fill="auto"/>
            <w:noWrap w:val="0"/>
            <w:vAlign w:val="center"/>
          </w:tcPr>
          <w:p w14:paraId="0E45ED1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Ⅲ</w:t>
            </w:r>
          </w:p>
        </w:tc>
        <w:tc>
          <w:tcPr>
            <w:tcW w:w="311" w:type="pct"/>
            <w:shd w:val="clear" w:color="auto" w:fill="auto"/>
            <w:noWrap w:val="0"/>
            <w:vAlign w:val="center"/>
          </w:tcPr>
          <w:p w14:paraId="5E0DA01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Ⅲ</w:t>
            </w:r>
          </w:p>
        </w:tc>
        <w:tc>
          <w:tcPr>
            <w:tcW w:w="311" w:type="pct"/>
            <w:shd w:val="clear" w:color="auto" w:fill="auto"/>
            <w:noWrap w:val="0"/>
            <w:vAlign w:val="center"/>
          </w:tcPr>
          <w:p w14:paraId="27F5D9D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Ⅲ</w:t>
            </w:r>
          </w:p>
        </w:tc>
        <w:tc>
          <w:tcPr>
            <w:tcW w:w="312" w:type="pct"/>
            <w:shd w:val="clear" w:color="auto" w:fill="auto"/>
            <w:noWrap w:val="0"/>
            <w:vAlign w:val="center"/>
          </w:tcPr>
          <w:p w14:paraId="73AC7ED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Ⅱ</w:t>
            </w:r>
          </w:p>
        </w:tc>
      </w:tr>
      <w:tr w14:paraId="76647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shd w:val="clear" w:color="auto" w:fill="auto"/>
            <w:noWrap w:val="0"/>
            <w:vAlign w:val="center"/>
          </w:tcPr>
          <w:p w14:paraId="057D2B6A">
            <w:pPr>
              <w:pStyle w:val="17"/>
              <w:kinsoku/>
              <w:wordWrap/>
              <w:topLinePunct w:val="0"/>
              <w:autoSpaceDE/>
              <w:autoSpaceDN/>
              <w:bidi w:val="0"/>
              <w:adjustRightInd/>
              <w:snapToGrid/>
              <w:textAlignment w:val="auto"/>
              <w:rPr>
                <w:rFonts w:hint="default" w:ascii="Times New Roman" w:hAnsi="Times New Roman" w:cs="Times New Roman"/>
              </w:rPr>
            </w:pPr>
          </w:p>
        </w:tc>
        <w:tc>
          <w:tcPr>
            <w:tcW w:w="379" w:type="pct"/>
            <w:vMerge w:val="continue"/>
            <w:shd w:val="clear" w:color="auto" w:fill="auto"/>
            <w:noWrap w:val="0"/>
            <w:vAlign w:val="center"/>
          </w:tcPr>
          <w:p w14:paraId="60FF2176">
            <w:pPr>
              <w:pStyle w:val="17"/>
              <w:kinsoku/>
              <w:wordWrap/>
              <w:topLinePunct w:val="0"/>
              <w:autoSpaceDE/>
              <w:autoSpaceDN/>
              <w:bidi w:val="0"/>
              <w:adjustRightInd/>
              <w:snapToGrid/>
              <w:textAlignment w:val="auto"/>
              <w:rPr>
                <w:rFonts w:hint="default" w:ascii="Times New Roman" w:hAnsi="Times New Roman" w:cs="Times New Roman"/>
              </w:rPr>
            </w:pPr>
          </w:p>
        </w:tc>
        <w:tc>
          <w:tcPr>
            <w:tcW w:w="410" w:type="pct"/>
            <w:shd w:val="clear" w:color="auto" w:fill="auto"/>
            <w:noWrap w:val="0"/>
            <w:vAlign w:val="center"/>
          </w:tcPr>
          <w:p w14:paraId="0E57591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大阳岔</w:t>
            </w:r>
          </w:p>
        </w:tc>
        <w:tc>
          <w:tcPr>
            <w:tcW w:w="375" w:type="pct"/>
            <w:shd w:val="clear" w:color="auto" w:fill="auto"/>
            <w:noWrap w:val="0"/>
            <w:vAlign w:val="center"/>
          </w:tcPr>
          <w:p w14:paraId="439A04C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浑江</w:t>
            </w:r>
          </w:p>
        </w:tc>
        <w:tc>
          <w:tcPr>
            <w:tcW w:w="400" w:type="pct"/>
            <w:shd w:val="clear" w:color="auto" w:fill="auto"/>
            <w:noWrap w:val="0"/>
            <w:vAlign w:val="center"/>
          </w:tcPr>
          <w:p w14:paraId="17BAEAD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国控</w:t>
            </w:r>
          </w:p>
        </w:tc>
        <w:tc>
          <w:tcPr>
            <w:tcW w:w="657" w:type="pct"/>
            <w:shd w:val="clear" w:color="auto" w:fill="auto"/>
            <w:noWrap w:val="0"/>
            <w:vAlign w:val="center"/>
          </w:tcPr>
          <w:p w14:paraId="252EA93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126°41′9″</w:t>
            </w:r>
          </w:p>
        </w:tc>
        <w:tc>
          <w:tcPr>
            <w:tcW w:w="657" w:type="pct"/>
            <w:shd w:val="clear" w:color="auto" w:fill="auto"/>
            <w:noWrap w:val="0"/>
            <w:vAlign w:val="center"/>
          </w:tcPr>
          <w:p w14:paraId="1137A74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41°58′37″</w:t>
            </w:r>
          </w:p>
        </w:tc>
        <w:tc>
          <w:tcPr>
            <w:tcW w:w="311" w:type="pct"/>
            <w:shd w:val="clear" w:color="auto" w:fill="auto"/>
            <w:noWrap w:val="0"/>
            <w:vAlign w:val="center"/>
          </w:tcPr>
          <w:p w14:paraId="1EA9882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Ⅱ</w:t>
            </w:r>
          </w:p>
        </w:tc>
        <w:tc>
          <w:tcPr>
            <w:tcW w:w="311" w:type="pct"/>
            <w:shd w:val="clear" w:color="auto" w:fill="auto"/>
            <w:noWrap w:val="0"/>
            <w:vAlign w:val="center"/>
          </w:tcPr>
          <w:p w14:paraId="6EA7D84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Ⅱ</w:t>
            </w:r>
          </w:p>
        </w:tc>
        <w:tc>
          <w:tcPr>
            <w:tcW w:w="311" w:type="pct"/>
            <w:shd w:val="clear" w:color="auto" w:fill="auto"/>
            <w:noWrap w:val="0"/>
            <w:vAlign w:val="center"/>
          </w:tcPr>
          <w:p w14:paraId="0D01851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Ⅱ</w:t>
            </w:r>
          </w:p>
        </w:tc>
        <w:tc>
          <w:tcPr>
            <w:tcW w:w="311" w:type="pct"/>
            <w:shd w:val="clear" w:color="auto" w:fill="auto"/>
            <w:noWrap w:val="0"/>
            <w:vAlign w:val="center"/>
          </w:tcPr>
          <w:p w14:paraId="1567364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Ⅱ</w:t>
            </w:r>
          </w:p>
        </w:tc>
        <w:tc>
          <w:tcPr>
            <w:tcW w:w="311" w:type="pct"/>
            <w:shd w:val="clear" w:color="auto" w:fill="auto"/>
            <w:noWrap w:val="0"/>
            <w:vAlign w:val="center"/>
          </w:tcPr>
          <w:p w14:paraId="29CD5AC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Ⅱ</w:t>
            </w:r>
          </w:p>
        </w:tc>
        <w:tc>
          <w:tcPr>
            <w:tcW w:w="312" w:type="pct"/>
            <w:shd w:val="clear" w:color="auto" w:fill="auto"/>
            <w:noWrap w:val="0"/>
            <w:vAlign w:val="center"/>
          </w:tcPr>
          <w:p w14:paraId="1631E27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Ⅰ</w:t>
            </w:r>
          </w:p>
        </w:tc>
      </w:tr>
    </w:tbl>
    <w:p w14:paraId="074C3F9C">
      <w:pPr>
        <w:kinsoku/>
        <w:wordWrap/>
        <w:topLinePunct w:val="0"/>
        <w:autoSpaceDE/>
        <w:autoSpaceDN/>
        <w:bidi w:val="0"/>
        <w:adjustRightInd/>
        <w:snapToGrid/>
        <w:textAlignment w:val="auto"/>
        <w:rPr>
          <w:rFonts w:hint="default" w:ascii="Times New Roman" w:hAnsi="Times New Roman" w:cs="Times New Roman"/>
        </w:rPr>
      </w:pPr>
    </w:p>
    <w:p w14:paraId="5E036398">
      <w:pPr>
        <w:pStyle w:val="16"/>
        <w:kinsoku/>
        <w:wordWrap/>
        <w:topLinePunct w:val="0"/>
        <w:autoSpaceDE/>
        <w:autoSpaceDN/>
        <w:bidi w:val="0"/>
        <w:adjustRightInd/>
        <w:snapToGrid/>
        <w:textAlignment w:val="auto"/>
        <w:rPr>
          <w:rFonts w:hint="default" w:ascii="Times New Roman" w:hAnsi="Times New Roman" w:eastAsia="宋体" w:cs="Times New Roman"/>
          <w:lang w:eastAsia="zh-CN"/>
        </w:rPr>
      </w:pPr>
      <w:r>
        <w:rPr>
          <w:rFonts w:hint="default" w:ascii="Times New Roman" w:hAnsi="Times New Roman" w:cs="Times New Roman"/>
        </w:rPr>
        <w:t>表</w:t>
      </w:r>
      <w:r>
        <w:rPr>
          <w:rFonts w:hint="eastAsia" w:cs="Times New Roman"/>
          <w:lang w:val="en-US" w:eastAsia="zh-CN"/>
        </w:rPr>
        <w:t>1-4</w:t>
      </w:r>
      <w:r>
        <w:rPr>
          <w:rFonts w:hint="default" w:ascii="Times New Roman" w:hAnsi="Times New Roman" w:cs="Times New Roman"/>
        </w:rPr>
        <w:t>江源（浑）断面逐月水质状况</w:t>
      </w:r>
      <w:r>
        <w:rPr>
          <w:rFonts w:hint="default" w:ascii="Times New Roman" w:hAnsi="Times New Roman" w:cs="Times New Roman"/>
          <w:lang w:eastAsia="zh-CN"/>
        </w:rPr>
        <w:t>（</w:t>
      </w:r>
      <w:r>
        <w:rPr>
          <w:rFonts w:hint="default" w:ascii="Times New Roman" w:hAnsi="Times New Roman" w:cs="Times New Roman"/>
        </w:rPr>
        <w:t>2017-2020年</w:t>
      </w:r>
      <w:r>
        <w:rPr>
          <w:rFonts w:hint="default" w:ascii="Times New Roman" w:hAnsi="Times New Roman" w:cs="Times New Roman"/>
          <w:lang w:eastAsia="zh-CN"/>
        </w:rPr>
        <w:t>）</w:t>
      </w:r>
    </w:p>
    <w:tbl>
      <w:tblPr>
        <w:tblStyle w:val="13"/>
        <w:tblpPr w:leftFromText="180" w:rightFromText="180" w:vertAnchor="text" w:horzAnchor="margin" w:tblpXSpec="center" w:tblpY="8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1023"/>
        <w:gridCol w:w="859"/>
        <w:gridCol w:w="859"/>
        <w:gridCol w:w="859"/>
        <w:gridCol w:w="859"/>
        <w:gridCol w:w="859"/>
        <w:gridCol w:w="859"/>
        <w:gridCol w:w="859"/>
        <w:gridCol w:w="859"/>
        <w:gridCol w:w="859"/>
        <w:gridCol w:w="859"/>
        <w:gridCol w:w="859"/>
        <w:gridCol w:w="859"/>
        <w:gridCol w:w="1119"/>
      </w:tblGrid>
      <w:tr w14:paraId="700A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3" w:type="pct"/>
            <w:noWrap w:val="0"/>
            <w:vAlign w:val="center"/>
          </w:tcPr>
          <w:p w14:paraId="06B5106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年份</w:t>
            </w:r>
          </w:p>
        </w:tc>
        <w:tc>
          <w:tcPr>
            <w:tcW w:w="380" w:type="pct"/>
            <w:noWrap w:val="0"/>
            <w:vAlign w:val="center"/>
          </w:tcPr>
          <w:p w14:paraId="5B8F74A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水质目标</w:t>
            </w:r>
          </w:p>
        </w:tc>
        <w:tc>
          <w:tcPr>
            <w:tcW w:w="319" w:type="pct"/>
            <w:noWrap w:val="0"/>
            <w:vAlign w:val="center"/>
          </w:tcPr>
          <w:p w14:paraId="245305A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1月</w:t>
            </w:r>
          </w:p>
        </w:tc>
        <w:tc>
          <w:tcPr>
            <w:tcW w:w="319" w:type="pct"/>
            <w:noWrap w:val="0"/>
            <w:vAlign w:val="center"/>
          </w:tcPr>
          <w:p w14:paraId="2D2CADA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2月</w:t>
            </w:r>
          </w:p>
        </w:tc>
        <w:tc>
          <w:tcPr>
            <w:tcW w:w="319" w:type="pct"/>
            <w:noWrap w:val="0"/>
            <w:vAlign w:val="center"/>
          </w:tcPr>
          <w:p w14:paraId="64688E2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3月</w:t>
            </w:r>
          </w:p>
        </w:tc>
        <w:tc>
          <w:tcPr>
            <w:tcW w:w="319" w:type="pct"/>
            <w:noWrap w:val="0"/>
            <w:vAlign w:val="center"/>
          </w:tcPr>
          <w:p w14:paraId="6B835B9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4月</w:t>
            </w:r>
          </w:p>
        </w:tc>
        <w:tc>
          <w:tcPr>
            <w:tcW w:w="319" w:type="pct"/>
            <w:noWrap w:val="0"/>
            <w:vAlign w:val="center"/>
          </w:tcPr>
          <w:p w14:paraId="67F548F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5月</w:t>
            </w:r>
          </w:p>
        </w:tc>
        <w:tc>
          <w:tcPr>
            <w:tcW w:w="319" w:type="pct"/>
            <w:noWrap w:val="0"/>
            <w:vAlign w:val="center"/>
          </w:tcPr>
          <w:p w14:paraId="26647A0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6月</w:t>
            </w:r>
          </w:p>
        </w:tc>
        <w:tc>
          <w:tcPr>
            <w:tcW w:w="319" w:type="pct"/>
            <w:noWrap w:val="0"/>
            <w:vAlign w:val="center"/>
          </w:tcPr>
          <w:p w14:paraId="0D8E8CD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7月</w:t>
            </w:r>
          </w:p>
        </w:tc>
        <w:tc>
          <w:tcPr>
            <w:tcW w:w="319" w:type="pct"/>
            <w:noWrap w:val="0"/>
            <w:vAlign w:val="center"/>
          </w:tcPr>
          <w:p w14:paraId="210A60D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8月</w:t>
            </w:r>
          </w:p>
        </w:tc>
        <w:tc>
          <w:tcPr>
            <w:tcW w:w="319" w:type="pct"/>
            <w:noWrap w:val="0"/>
            <w:vAlign w:val="center"/>
          </w:tcPr>
          <w:p w14:paraId="1D479DF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9月</w:t>
            </w:r>
          </w:p>
        </w:tc>
        <w:tc>
          <w:tcPr>
            <w:tcW w:w="319" w:type="pct"/>
            <w:noWrap w:val="0"/>
            <w:vAlign w:val="center"/>
          </w:tcPr>
          <w:p w14:paraId="3E43FE7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10月</w:t>
            </w:r>
          </w:p>
        </w:tc>
        <w:tc>
          <w:tcPr>
            <w:tcW w:w="319" w:type="pct"/>
            <w:noWrap w:val="0"/>
            <w:vAlign w:val="center"/>
          </w:tcPr>
          <w:p w14:paraId="4CF428A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11月</w:t>
            </w:r>
          </w:p>
        </w:tc>
        <w:tc>
          <w:tcPr>
            <w:tcW w:w="319" w:type="pct"/>
            <w:noWrap w:val="0"/>
            <w:vAlign w:val="center"/>
          </w:tcPr>
          <w:p w14:paraId="1C6B9D9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12月</w:t>
            </w:r>
          </w:p>
        </w:tc>
        <w:tc>
          <w:tcPr>
            <w:tcW w:w="415" w:type="pct"/>
            <w:noWrap w:val="0"/>
            <w:vAlign w:val="center"/>
          </w:tcPr>
          <w:p w14:paraId="50C0C6B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年均值</w:t>
            </w:r>
          </w:p>
        </w:tc>
      </w:tr>
      <w:tr w14:paraId="2727B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3" w:type="pct"/>
            <w:noWrap w:val="0"/>
            <w:vAlign w:val="center"/>
          </w:tcPr>
          <w:p w14:paraId="5D6751B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2017</w:t>
            </w:r>
          </w:p>
        </w:tc>
        <w:tc>
          <w:tcPr>
            <w:tcW w:w="380" w:type="pct"/>
            <w:noWrap w:val="0"/>
            <w:vAlign w:val="center"/>
          </w:tcPr>
          <w:p w14:paraId="4EB66E4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0DB9377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28A0144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02A5EA6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681C4A0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2FE6493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155243A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135E3D2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467DADB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22D2EF5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3517EA6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25EF0AB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IV</w:t>
            </w:r>
          </w:p>
        </w:tc>
        <w:tc>
          <w:tcPr>
            <w:tcW w:w="319" w:type="pct"/>
            <w:noWrap w:val="0"/>
            <w:vAlign w:val="center"/>
          </w:tcPr>
          <w:p w14:paraId="04575D4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415" w:type="pct"/>
            <w:noWrap w:val="0"/>
            <w:vAlign w:val="center"/>
          </w:tcPr>
          <w:p w14:paraId="6D579A7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r>
      <w:tr w14:paraId="44B55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3" w:type="pct"/>
            <w:noWrap w:val="0"/>
            <w:vAlign w:val="center"/>
          </w:tcPr>
          <w:p w14:paraId="0DE9FD0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2018</w:t>
            </w:r>
          </w:p>
        </w:tc>
        <w:tc>
          <w:tcPr>
            <w:tcW w:w="380" w:type="pct"/>
            <w:noWrap w:val="0"/>
            <w:vAlign w:val="center"/>
          </w:tcPr>
          <w:p w14:paraId="7803120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48BA6CE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280A497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39156FB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IV</w:t>
            </w:r>
          </w:p>
        </w:tc>
        <w:tc>
          <w:tcPr>
            <w:tcW w:w="319" w:type="pct"/>
            <w:noWrap w:val="0"/>
            <w:vAlign w:val="center"/>
          </w:tcPr>
          <w:p w14:paraId="0912776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15952C8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 4 \* ROMAN </w:instrText>
            </w:r>
            <w:r>
              <w:rPr>
                <w:rFonts w:hint="default" w:ascii="Times New Roman" w:hAnsi="Times New Roman" w:cs="Times New Roman"/>
              </w:rPr>
              <w:fldChar w:fldCharType="separate"/>
            </w:r>
            <w:r>
              <w:rPr>
                <w:rFonts w:hint="default" w:ascii="Times New Roman" w:hAnsi="Times New Roman" w:cs="Times New Roman"/>
              </w:rPr>
              <w:t>IV</w:t>
            </w:r>
            <w:r>
              <w:rPr>
                <w:rFonts w:hint="default" w:ascii="Times New Roman" w:hAnsi="Times New Roman" w:cs="Times New Roman"/>
              </w:rPr>
              <w:fldChar w:fldCharType="end"/>
            </w:r>
          </w:p>
        </w:tc>
        <w:tc>
          <w:tcPr>
            <w:tcW w:w="319" w:type="pct"/>
            <w:noWrap w:val="0"/>
            <w:vAlign w:val="center"/>
          </w:tcPr>
          <w:p w14:paraId="6BCDAC9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 4 \* ROMAN </w:instrText>
            </w:r>
            <w:r>
              <w:rPr>
                <w:rFonts w:hint="default" w:ascii="Times New Roman" w:hAnsi="Times New Roman" w:cs="Times New Roman"/>
              </w:rPr>
              <w:fldChar w:fldCharType="separate"/>
            </w:r>
            <w:r>
              <w:rPr>
                <w:rFonts w:hint="default" w:ascii="Times New Roman" w:hAnsi="Times New Roman" w:cs="Times New Roman"/>
              </w:rPr>
              <w:t>IV</w:t>
            </w:r>
            <w:r>
              <w:rPr>
                <w:rFonts w:hint="default" w:ascii="Times New Roman" w:hAnsi="Times New Roman" w:cs="Times New Roman"/>
              </w:rPr>
              <w:fldChar w:fldCharType="end"/>
            </w:r>
          </w:p>
        </w:tc>
        <w:tc>
          <w:tcPr>
            <w:tcW w:w="319" w:type="pct"/>
            <w:noWrap w:val="0"/>
            <w:vAlign w:val="center"/>
          </w:tcPr>
          <w:p w14:paraId="614A2DC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3DB133B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7DD7394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IV</w:t>
            </w:r>
          </w:p>
        </w:tc>
        <w:tc>
          <w:tcPr>
            <w:tcW w:w="319" w:type="pct"/>
            <w:noWrap w:val="0"/>
            <w:vAlign w:val="center"/>
          </w:tcPr>
          <w:p w14:paraId="7B58DA5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6B7DC7D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34546E2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415" w:type="pct"/>
            <w:noWrap w:val="0"/>
            <w:vAlign w:val="center"/>
          </w:tcPr>
          <w:p w14:paraId="78B0EBB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r>
      <w:tr w14:paraId="3962D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3" w:type="pct"/>
            <w:noWrap w:val="0"/>
            <w:vAlign w:val="center"/>
          </w:tcPr>
          <w:p w14:paraId="3CD4CDB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2019</w:t>
            </w:r>
          </w:p>
        </w:tc>
        <w:tc>
          <w:tcPr>
            <w:tcW w:w="380" w:type="pct"/>
            <w:noWrap w:val="0"/>
            <w:vAlign w:val="center"/>
          </w:tcPr>
          <w:p w14:paraId="7A7AF0A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2CD63DB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w:t>
            </w:r>
          </w:p>
        </w:tc>
        <w:tc>
          <w:tcPr>
            <w:tcW w:w="319" w:type="pct"/>
            <w:noWrap w:val="0"/>
            <w:vAlign w:val="center"/>
          </w:tcPr>
          <w:p w14:paraId="20E51BE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w:t>
            </w:r>
          </w:p>
        </w:tc>
        <w:tc>
          <w:tcPr>
            <w:tcW w:w="319" w:type="pct"/>
            <w:noWrap w:val="0"/>
            <w:vAlign w:val="center"/>
          </w:tcPr>
          <w:p w14:paraId="5E01879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771D5CA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1F7572A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25AA6E7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664A65A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w:t>
            </w:r>
          </w:p>
        </w:tc>
        <w:tc>
          <w:tcPr>
            <w:tcW w:w="319" w:type="pct"/>
            <w:noWrap w:val="0"/>
            <w:vAlign w:val="center"/>
          </w:tcPr>
          <w:p w14:paraId="496CEEF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w:t>
            </w:r>
          </w:p>
        </w:tc>
        <w:tc>
          <w:tcPr>
            <w:tcW w:w="319" w:type="pct"/>
            <w:noWrap w:val="0"/>
            <w:vAlign w:val="center"/>
          </w:tcPr>
          <w:p w14:paraId="0511E2B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w:t>
            </w:r>
          </w:p>
        </w:tc>
        <w:tc>
          <w:tcPr>
            <w:tcW w:w="319" w:type="pct"/>
            <w:noWrap w:val="0"/>
            <w:vAlign w:val="center"/>
          </w:tcPr>
          <w:p w14:paraId="7367C19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6839B5C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2D6FC6D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415" w:type="pct"/>
            <w:noWrap w:val="0"/>
            <w:vAlign w:val="center"/>
          </w:tcPr>
          <w:p w14:paraId="1E972FA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r>
      <w:tr w14:paraId="4EB29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3" w:type="pct"/>
            <w:noWrap w:val="0"/>
            <w:vAlign w:val="center"/>
          </w:tcPr>
          <w:p w14:paraId="5A9061C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2020</w:t>
            </w:r>
          </w:p>
        </w:tc>
        <w:tc>
          <w:tcPr>
            <w:tcW w:w="380" w:type="pct"/>
            <w:noWrap w:val="0"/>
            <w:vAlign w:val="center"/>
          </w:tcPr>
          <w:p w14:paraId="7C27898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0E688D7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w:t>
            </w:r>
          </w:p>
        </w:tc>
        <w:tc>
          <w:tcPr>
            <w:tcW w:w="319" w:type="pct"/>
            <w:noWrap w:val="0"/>
            <w:vAlign w:val="center"/>
          </w:tcPr>
          <w:p w14:paraId="74C0123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Ⅱ</w:t>
            </w:r>
          </w:p>
        </w:tc>
        <w:tc>
          <w:tcPr>
            <w:tcW w:w="319" w:type="pct"/>
            <w:noWrap w:val="0"/>
            <w:vAlign w:val="center"/>
          </w:tcPr>
          <w:p w14:paraId="0B1579C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Ⅱ</w:t>
            </w:r>
          </w:p>
        </w:tc>
        <w:tc>
          <w:tcPr>
            <w:tcW w:w="319" w:type="pct"/>
            <w:noWrap w:val="0"/>
            <w:vAlign w:val="center"/>
          </w:tcPr>
          <w:p w14:paraId="0F47BB0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Ⅱ</w:t>
            </w:r>
          </w:p>
        </w:tc>
        <w:tc>
          <w:tcPr>
            <w:tcW w:w="319" w:type="pct"/>
            <w:noWrap w:val="0"/>
            <w:vAlign w:val="center"/>
          </w:tcPr>
          <w:p w14:paraId="7AAF2A3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Ⅱ</w:t>
            </w:r>
          </w:p>
        </w:tc>
        <w:tc>
          <w:tcPr>
            <w:tcW w:w="319" w:type="pct"/>
            <w:noWrap w:val="0"/>
            <w:vAlign w:val="center"/>
          </w:tcPr>
          <w:p w14:paraId="79FDC1A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Ⅲ</w:t>
            </w:r>
          </w:p>
        </w:tc>
        <w:tc>
          <w:tcPr>
            <w:tcW w:w="319" w:type="pct"/>
            <w:noWrap w:val="0"/>
            <w:vAlign w:val="center"/>
          </w:tcPr>
          <w:p w14:paraId="0FA0B63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Ⅲ</w:t>
            </w:r>
          </w:p>
        </w:tc>
        <w:tc>
          <w:tcPr>
            <w:tcW w:w="319" w:type="pct"/>
            <w:noWrap w:val="0"/>
            <w:vAlign w:val="center"/>
          </w:tcPr>
          <w:p w14:paraId="191771F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Ⅳ</w:t>
            </w:r>
          </w:p>
        </w:tc>
        <w:tc>
          <w:tcPr>
            <w:tcW w:w="319" w:type="pct"/>
            <w:noWrap w:val="0"/>
            <w:vAlign w:val="center"/>
          </w:tcPr>
          <w:p w14:paraId="396CFA0B">
            <w:pPr>
              <w:pStyle w:val="17"/>
              <w:kinsoku/>
              <w:wordWrap/>
              <w:topLinePunct w:val="0"/>
              <w:autoSpaceDE/>
              <w:autoSpaceDN/>
              <w:bidi w:val="0"/>
              <w:adjustRightInd/>
              <w:snapToGrid/>
              <w:textAlignment w:val="auto"/>
              <w:rPr>
                <w:rFonts w:hint="default" w:ascii="Times New Roman" w:hAnsi="Times New Roman" w:cs="Times New Roman"/>
              </w:rPr>
            </w:pPr>
          </w:p>
        </w:tc>
        <w:tc>
          <w:tcPr>
            <w:tcW w:w="319" w:type="pct"/>
            <w:noWrap w:val="0"/>
            <w:vAlign w:val="center"/>
          </w:tcPr>
          <w:p w14:paraId="0F916A2A">
            <w:pPr>
              <w:pStyle w:val="17"/>
              <w:kinsoku/>
              <w:wordWrap/>
              <w:topLinePunct w:val="0"/>
              <w:autoSpaceDE/>
              <w:autoSpaceDN/>
              <w:bidi w:val="0"/>
              <w:adjustRightInd/>
              <w:snapToGrid/>
              <w:textAlignment w:val="auto"/>
              <w:rPr>
                <w:rFonts w:hint="default" w:ascii="Times New Roman" w:hAnsi="Times New Roman" w:cs="Times New Roman"/>
              </w:rPr>
            </w:pPr>
          </w:p>
        </w:tc>
        <w:tc>
          <w:tcPr>
            <w:tcW w:w="319" w:type="pct"/>
            <w:noWrap w:val="0"/>
            <w:vAlign w:val="center"/>
          </w:tcPr>
          <w:p w14:paraId="0EA2C561">
            <w:pPr>
              <w:pStyle w:val="17"/>
              <w:kinsoku/>
              <w:wordWrap/>
              <w:topLinePunct w:val="0"/>
              <w:autoSpaceDE/>
              <w:autoSpaceDN/>
              <w:bidi w:val="0"/>
              <w:adjustRightInd/>
              <w:snapToGrid/>
              <w:textAlignment w:val="auto"/>
              <w:rPr>
                <w:rFonts w:hint="default" w:ascii="Times New Roman" w:hAnsi="Times New Roman" w:cs="Times New Roman"/>
              </w:rPr>
            </w:pPr>
          </w:p>
        </w:tc>
        <w:tc>
          <w:tcPr>
            <w:tcW w:w="319" w:type="pct"/>
            <w:noWrap w:val="0"/>
            <w:vAlign w:val="center"/>
          </w:tcPr>
          <w:p w14:paraId="6F617DA8">
            <w:pPr>
              <w:pStyle w:val="17"/>
              <w:kinsoku/>
              <w:wordWrap/>
              <w:topLinePunct w:val="0"/>
              <w:autoSpaceDE/>
              <w:autoSpaceDN/>
              <w:bidi w:val="0"/>
              <w:adjustRightInd/>
              <w:snapToGrid/>
              <w:textAlignment w:val="auto"/>
              <w:rPr>
                <w:rFonts w:hint="default" w:ascii="Times New Roman" w:hAnsi="Times New Roman" w:cs="Times New Roman"/>
              </w:rPr>
            </w:pPr>
          </w:p>
        </w:tc>
        <w:tc>
          <w:tcPr>
            <w:tcW w:w="415" w:type="pct"/>
            <w:noWrap w:val="0"/>
            <w:vAlign w:val="center"/>
          </w:tcPr>
          <w:p w14:paraId="0CB5D304">
            <w:pPr>
              <w:pStyle w:val="17"/>
              <w:kinsoku/>
              <w:wordWrap/>
              <w:topLinePunct w:val="0"/>
              <w:autoSpaceDE/>
              <w:autoSpaceDN/>
              <w:bidi w:val="0"/>
              <w:adjustRightInd/>
              <w:snapToGrid/>
              <w:textAlignment w:val="auto"/>
              <w:rPr>
                <w:rFonts w:hint="default" w:ascii="Times New Roman" w:hAnsi="Times New Roman" w:cs="Times New Roman"/>
              </w:rPr>
            </w:pPr>
          </w:p>
        </w:tc>
      </w:tr>
    </w:tbl>
    <w:p w14:paraId="07D75D49">
      <w:pPr>
        <w:pStyle w:val="16"/>
        <w:kinsoku/>
        <w:wordWrap/>
        <w:topLinePunct w:val="0"/>
        <w:autoSpaceDE/>
        <w:autoSpaceDN/>
        <w:bidi w:val="0"/>
        <w:adjustRightInd/>
        <w:snapToGrid/>
        <w:textAlignment w:val="auto"/>
        <w:rPr>
          <w:rFonts w:hint="default" w:ascii="Times New Roman" w:hAnsi="Times New Roman" w:cs="Times New Roman"/>
        </w:rPr>
      </w:pPr>
    </w:p>
    <w:p w14:paraId="110193EB">
      <w:pPr>
        <w:pStyle w:val="16"/>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1-5</w:t>
      </w:r>
      <w:r>
        <w:rPr>
          <w:rFonts w:hint="default" w:ascii="Times New Roman" w:hAnsi="Times New Roman" w:cs="Times New Roman"/>
        </w:rPr>
        <w:t>西村断面年均水质</w:t>
      </w:r>
      <w:r>
        <w:rPr>
          <w:rFonts w:hint="default" w:ascii="Times New Roman" w:hAnsi="Times New Roman" w:cs="Times New Roman"/>
          <w:lang w:eastAsia="zh-CN"/>
        </w:rPr>
        <w:t>（</w:t>
      </w:r>
      <w:r>
        <w:rPr>
          <w:rFonts w:hint="default" w:ascii="Times New Roman" w:hAnsi="Times New Roman" w:cs="Times New Roman"/>
        </w:rPr>
        <w:t>2015-2020年</w:t>
      </w:r>
      <w:r>
        <w:rPr>
          <w:rFonts w:hint="default" w:ascii="Times New Roman" w:hAnsi="Times New Roman" w:cs="Times New Roman"/>
          <w:lang w:eastAsia="zh-CN"/>
        </w:rPr>
        <w:t>）</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73"/>
        <w:gridCol w:w="689"/>
        <w:gridCol w:w="719"/>
        <w:gridCol w:w="719"/>
        <w:gridCol w:w="721"/>
        <w:gridCol w:w="1679"/>
        <w:gridCol w:w="1679"/>
        <w:gridCol w:w="1001"/>
        <w:gridCol w:w="1001"/>
        <w:gridCol w:w="1001"/>
        <w:gridCol w:w="1001"/>
        <w:gridCol w:w="1001"/>
        <w:gridCol w:w="1570"/>
      </w:tblGrid>
      <w:tr w14:paraId="35E3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50" w:type="pct"/>
            <w:vMerge w:val="restart"/>
            <w:shd w:val="clear" w:color="auto" w:fill="auto"/>
            <w:noWrap w:val="0"/>
            <w:vAlign w:val="center"/>
          </w:tcPr>
          <w:p w14:paraId="2D9DCDC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流域</w:t>
            </w:r>
          </w:p>
        </w:tc>
        <w:tc>
          <w:tcPr>
            <w:tcW w:w="256" w:type="pct"/>
            <w:vMerge w:val="restart"/>
            <w:shd w:val="clear" w:color="auto" w:fill="auto"/>
            <w:noWrap w:val="0"/>
            <w:vAlign w:val="center"/>
          </w:tcPr>
          <w:p w14:paraId="0E1BC86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汇水范围</w:t>
            </w:r>
          </w:p>
        </w:tc>
        <w:tc>
          <w:tcPr>
            <w:tcW w:w="267" w:type="pct"/>
            <w:vMerge w:val="restart"/>
            <w:shd w:val="clear" w:color="auto" w:fill="auto"/>
            <w:noWrap w:val="0"/>
            <w:vAlign w:val="center"/>
          </w:tcPr>
          <w:p w14:paraId="3939961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断面名称</w:t>
            </w:r>
          </w:p>
        </w:tc>
        <w:tc>
          <w:tcPr>
            <w:tcW w:w="267" w:type="pct"/>
            <w:vMerge w:val="restart"/>
            <w:shd w:val="clear" w:color="auto" w:fill="auto"/>
            <w:noWrap w:val="0"/>
            <w:vAlign w:val="center"/>
          </w:tcPr>
          <w:p w14:paraId="1042BC9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所在水体</w:t>
            </w:r>
          </w:p>
        </w:tc>
        <w:tc>
          <w:tcPr>
            <w:tcW w:w="268" w:type="pct"/>
            <w:vMerge w:val="restart"/>
            <w:shd w:val="clear" w:color="auto" w:fill="auto"/>
            <w:noWrap w:val="0"/>
            <w:vAlign w:val="center"/>
          </w:tcPr>
          <w:p w14:paraId="21253C0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断面级别</w:t>
            </w:r>
          </w:p>
        </w:tc>
        <w:tc>
          <w:tcPr>
            <w:tcW w:w="624" w:type="pct"/>
            <w:vMerge w:val="restart"/>
            <w:shd w:val="clear" w:color="auto" w:fill="auto"/>
            <w:noWrap w:val="0"/>
            <w:vAlign w:val="center"/>
          </w:tcPr>
          <w:p w14:paraId="72432B2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经度</w:t>
            </w:r>
          </w:p>
        </w:tc>
        <w:tc>
          <w:tcPr>
            <w:tcW w:w="624" w:type="pct"/>
            <w:vMerge w:val="restart"/>
            <w:shd w:val="clear" w:color="auto" w:fill="auto"/>
            <w:noWrap w:val="0"/>
            <w:vAlign w:val="center"/>
          </w:tcPr>
          <w:p w14:paraId="161F299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纬度</w:t>
            </w:r>
          </w:p>
        </w:tc>
        <w:tc>
          <w:tcPr>
            <w:tcW w:w="2443" w:type="pct"/>
            <w:gridSpan w:val="6"/>
            <w:shd w:val="clear" w:color="auto" w:fill="auto"/>
            <w:noWrap w:val="0"/>
            <w:vAlign w:val="center"/>
          </w:tcPr>
          <w:p w14:paraId="4E02377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水质状况</w:t>
            </w:r>
          </w:p>
        </w:tc>
      </w:tr>
      <w:tr w14:paraId="53E0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50" w:type="pct"/>
            <w:vMerge w:val="continue"/>
            <w:shd w:val="clear" w:color="auto" w:fill="auto"/>
            <w:noWrap w:val="0"/>
            <w:vAlign w:val="center"/>
          </w:tcPr>
          <w:p w14:paraId="1AEB4604">
            <w:pPr>
              <w:pStyle w:val="17"/>
              <w:kinsoku/>
              <w:wordWrap/>
              <w:topLinePunct w:val="0"/>
              <w:autoSpaceDE/>
              <w:autoSpaceDN/>
              <w:bidi w:val="0"/>
              <w:adjustRightInd/>
              <w:snapToGrid/>
              <w:textAlignment w:val="auto"/>
              <w:rPr>
                <w:rFonts w:hint="default" w:ascii="Times New Roman" w:hAnsi="Times New Roman" w:cs="Times New Roman"/>
              </w:rPr>
            </w:pPr>
          </w:p>
        </w:tc>
        <w:tc>
          <w:tcPr>
            <w:tcW w:w="256" w:type="pct"/>
            <w:vMerge w:val="continue"/>
            <w:shd w:val="clear" w:color="auto" w:fill="auto"/>
            <w:noWrap w:val="0"/>
            <w:vAlign w:val="center"/>
          </w:tcPr>
          <w:p w14:paraId="732BB92A">
            <w:pPr>
              <w:pStyle w:val="17"/>
              <w:kinsoku/>
              <w:wordWrap/>
              <w:topLinePunct w:val="0"/>
              <w:autoSpaceDE/>
              <w:autoSpaceDN/>
              <w:bidi w:val="0"/>
              <w:adjustRightInd/>
              <w:snapToGrid/>
              <w:textAlignment w:val="auto"/>
              <w:rPr>
                <w:rFonts w:hint="default" w:ascii="Times New Roman" w:hAnsi="Times New Roman" w:cs="Times New Roman"/>
              </w:rPr>
            </w:pPr>
          </w:p>
        </w:tc>
        <w:tc>
          <w:tcPr>
            <w:tcW w:w="267" w:type="pct"/>
            <w:vMerge w:val="continue"/>
            <w:shd w:val="clear" w:color="auto" w:fill="auto"/>
            <w:noWrap w:val="0"/>
            <w:vAlign w:val="center"/>
          </w:tcPr>
          <w:p w14:paraId="22CC1A7D">
            <w:pPr>
              <w:pStyle w:val="17"/>
              <w:kinsoku/>
              <w:wordWrap/>
              <w:topLinePunct w:val="0"/>
              <w:autoSpaceDE/>
              <w:autoSpaceDN/>
              <w:bidi w:val="0"/>
              <w:adjustRightInd/>
              <w:snapToGrid/>
              <w:textAlignment w:val="auto"/>
              <w:rPr>
                <w:rFonts w:hint="default" w:ascii="Times New Roman" w:hAnsi="Times New Roman" w:cs="Times New Roman"/>
              </w:rPr>
            </w:pPr>
          </w:p>
        </w:tc>
        <w:tc>
          <w:tcPr>
            <w:tcW w:w="267" w:type="pct"/>
            <w:vMerge w:val="continue"/>
            <w:shd w:val="clear" w:color="auto" w:fill="auto"/>
            <w:noWrap w:val="0"/>
            <w:vAlign w:val="center"/>
          </w:tcPr>
          <w:p w14:paraId="665EF515">
            <w:pPr>
              <w:pStyle w:val="17"/>
              <w:kinsoku/>
              <w:wordWrap/>
              <w:topLinePunct w:val="0"/>
              <w:autoSpaceDE/>
              <w:autoSpaceDN/>
              <w:bidi w:val="0"/>
              <w:adjustRightInd/>
              <w:snapToGrid/>
              <w:textAlignment w:val="auto"/>
              <w:rPr>
                <w:rFonts w:hint="default" w:ascii="Times New Roman" w:hAnsi="Times New Roman" w:cs="Times New Roman"/>
              </w:rPr>
            </w:pPr>
          </w:p>
        </w:tc>
        <w:tc>
          <w:tcPr>
            <w:tcW w:w="268" w:type="pct"/>
            <w:vMerge w:val="continue"/>
            <w:shd w:val="clear" w:color="auto" w:fill="auto"/>
            <w:noWrap w:val="0"/>
            <w:vAlign w:val="center"/>
          </w:tcPr>
          <w:p w14:paraId="5011638C">
            <w:pPr>
              <w:pStyle w:val="17"/>
              <w:kinsoku/>
              <w:wordWrap/>
              <w:topLinePunct w:val="0"/>
              <w:autoSpaceDE/>
              <w:autoSpaceDN/>
              <w:bidi w:val="0"/>
              <w:adjustRightInd/>
              <w:snapToGrid/>
              <w:textAlignment w:val="auto"/>
              <w:rPr>
                <w:rFonts w:hint="default" w:ascii="Times New Roman" w:hAnsi="Times New Roman" w:cs="Times New Roman"/>
              </w:rPr>
            </w:pPr>
          </w:p>
        </w:tc>
        <w:tc>
          <w:tcPr>
            <w:tcW w:w="624" w:type="pct"/>
            <w:vMerge w:val="continue"/>
            <w:shd w:val="clear" w:color="auto" w:fill="auto"/>
            <w:noWrap w:val="0"/>
            <w:vAlign w:val="center"/>
          </w:tcPr>
          <w:p w14:paraId="5C772313">
            <w:pPr>
              <w:pStyle w:val="17"/>
              <w:kinsoku/>
              <w:wordWrap/>
              <w:topLinePunct w:val="0"/>
              <w:autoSpaceDE/>
              <w:autoSpaceDN/>
              <w:bidi w:val="0"/>
              <w:adjustRightInd/>
              <w:snapToGrid/>
              <w:textAlignment w:val="auto"/>
              <w:rPr>
                <w:rFonts w:hint="default" w:ascii="Times New Roman" w:hAnsi="Times New Roman" w:cs="Times New Roman"/>
              </w:rPr>
            </w:pPr>
          </w:p>
        </w:tc>
        <w:tc>
          <w:tcPr>
            <w:tcW w:w="624" w:type="pct"/>
            <w:vMerge w:val="continue"/>
            <w:shd w:val="clear" w:color="auto" w:fill="auto"/>
            <w:noWrap w:val="0"/>
            <w:vAlign w:val="center"/>
          </w:tcPr>
          <w:p w14:paraId="02349A0E">
            <w:pPr>
              <w:pStyle w:val="17"/>
              <w:kinsoku/>
              <w:wordWrap/>
              <w:topLinePunct w:val="0"/>
              <w:autoSpaceDE/>
              <w:autoSpaceDN/>
              <w:bidi w:val="0"/>
              <w:adjustRightInd/>
              <w:snapToGrid/>
              <w:textAlignment w:val="auto"/>
              <w:rPr>
                <w:rFonts w:hint="default" w:ascii="Times New Roman" w:hAnsi="Times New Roman" w:cs="Times New Roman"/>
              </w:rPr>
            </w:pPr>
          </w:p>
        </w:tc>
        <w:tc>
          <w:tcPr>
            <w:tcW w:w="372" w:type="pct"/>
            <w:shd w:val="clear" w:color="auto" w:fill="auto"/>
            <w:noWrap w:val="0"/>
            <w:vAlign w:val="center"/>
          </w:tcPr>
          <w:p w14:paraId="7C2DD4F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2015年</w:t>
            </w:r>
          </w:p>
        </w:tc>
        <w:tc>
          <w:tcPr>
            <w:tcW w:w="372" w:type="pct"/>
            <w:shd w:val="clear" w:color="auto" w:fill="auto"/>
            <w:noWrap w:val="0"/>
            <w:vAlign w:val="center"/>
          </w:tcPr>
          <w:p w14:paraId="1BF5210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2016年</w:t>
            </w:r>
          </w:p>
        </w:tc>
        <w:tc>
          <w:tcPr>
            <w:tcW w:w="372" w:type="pct"/>
            <w:shd w:val="clear" w:color="auto" w:fill="auto"/>
            <w:noWrap w:val="0"/>
            <w:vAlign w:val="center"/>
          </w:tcPr>
          <w:p w14:paraId="34797DE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2017年</w:t>
            </w:r>
          </w:p>
        </w:tc>
        <w:tc>
          <w:tcPr>
            <w:tcW w:w="372" w:type="pct"/>
            <w:shd w:val="clear" w:color="auto" w:fill="auto"/>
            <w:noWrap w:val="0"/>
            <w:vAlign w:val="center"/>
          </w:tcPr>
          <w:p w14:paraId="14739C2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2018年</w:t>
            </w:r>
          </w:p>
        </w:tc>
        <w:tc>
          <w:tcPr>
            <w:tcW w:w="372" w:type="pct"/>
            <w:shd w:val="clear" w:color="auto" w:fill="auto"/>
            <w:noWrap w:val="0"/>
            <w:vAlign w:val="center"/>
          </w:tcPr>
          <w:p w14:paraId="7E467BA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2019年</w:t>
            </w:r>
          </w:p>
        </w:tc>
        <w:tc>
          <w:tcPr>
            <w:tcW w:w="579" w:type="pct"/>
            <w:shd w:val="clear" w:color="auto" w:fill="auto"/>
            <w:noWrap w:val="0"/>
            <w:vAlign w:val="center"/>
          </w:tcPr>
          <w:p w14:paraId="0B196D1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2020年</w:t>
            </w:r>
          </w:p>
        </w:tc>
      </w:tr>
      <w:tr w14:paraId="1E8EB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50" w:type="pct"/>
            <w:shd w:val="clear" w:color="auto" w:fill="auto"/>
            <w:noWrap w:val="0"/>
            <w:vAlign w:val="center"/>
          </w:tcPr>
          <w:p w14:paraId="41A4B83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辽河</w:t>
            </w:r>
          </w:p>
        </w:tc>
        <w:tc>
          <w:tcPr>
            <w:tcW w:w="256" w:type="pct"/>
            <w:shd w:val="clear" w:color="auto" w:fill="auto"/>
            <w:noWrap w:val="0"/>
            <w:vAlign w:val="center"/>
          </w:tcPr>
          <w:p w14:paraId="1C6ABB0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西村</w:t>
            </w:r>
          </w:p>
        </w:tc>
        <w:tc>
          <w:tcPr>
            <w:tcW w:w="267" w:type="pct"/>
            <w:shd w:val="clear" w:color="auto" w:fill="auto"/>
            <w:noWrap w:val="0"/>
            <w:vAlign w:val="center"/>
          </w:tcPr>
          <w:p w14:paraId="2ED8A65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西村</w:t>
            </w:r>
          </w:p>
        </w:tc>
        <w:tc>
          <w:tcPr>
            <w:tcW w:w="267" w:type="pct"/>
            <w:shd w:val="clear" w:color="auto" w:fill="auto"/>
            <w:noWrap w:val="0"/>
            <w:vAlign w:val="center"/>
          </w:tcPr>
          <w:p w14:paraId="66A5622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浑江</w:t>
            </w:r>
          </w:p>
        </w:tc>
        <w:tc>
          <w:tcPr>
            <w:tcW w:w="268" w:type="pct"/>
            <w:shd w:val="clear" w:color="auto" w:fill="auto"/>
            <w:noWrap w:val="0"/>
            <w:vAlign w:val="center"/>
          </w:tcPr>
          <w:p w14:paraId="2F31FC8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省控</w:t>
            </w:r>
          </w:p>
        </w:tc>
        <w:tc>
          <w:tcPr>
            <w:tcW w:w="624" w:type="pct"/>
            <w:shd w:val="clear" w:color="auto" w:fill="auto"/>
            <w:noWrap w:val="0"/>
            <w:vAlign w:val="center"/>
          </w:tcPr>
          <w:p w14:paraId="5536C67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126°18′3″</w:t>
            </w:r>
          </w:p>
        </w:tc>
        <w:tc>
          <w:tcPr>
            <w:tcW w:w="624" w:type="pct"/>
            <w:shd w:val="clear" w:color="auto" w:fill="auto"/>
            <w:noWrap w:val="0"/>
            <w:vAlign w:val="center"/>
          </w:tcPr>
          <w:p w14:paraId="1E34619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41°58′37″</w:t>
            </w:r>
          </w:p>
        </w:tc>
        <w:tc>
          <w:tcPr>
            <w:tcW w:w="372" w:type="pct"/>
            <w:shd w:val="clear" w:color="auto" w:fill="auto"/>
            <w:noWrap w:val="0"/>
            <w:vAlign w:val="center"/>
          </w:tcPr>
          <w:p w14:paraId="58EF863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72" w:type="pct"/>
            <w:shd w:val="clear" w:color="auto" w:fill="auto"/>
            <w:noWrap w:val="0"/>
            <w:vAlign w:val="center"/>
          </w:tcPr>
          <w:p w14:paraId="137A367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IV</w:t>
            </w:r>
          </w:p>
        </w:tc>
        <w:tc>
          <w:tcPr>
            <w:tcW w:w="372" w:type="pct"/>
            <w:shd w:val="clear" w:color="auto" w:fill="auto"/>
            <w:noWrap w:val="0"/>
            <w:vAlign w:val="center"/>
          </w:tcPr>
          <w:p w14:paraId="1C79B0C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72" w:type="pct"/>
            <w:shd w:val="clear" w:color="auto" w:fill="auto"/>
            <w:noWrap w:val="0"/>
            <w:vAlign w:val="center"/>
          </w:tcPr>
          <w:p w14:paraId="48107C1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72" w:type="pct"/>
            <w:shd w:val="clear" w:color="auto" w:fill="auto"/>
            <w:noWrap w:val="0"/>
            <w:vAlign w:val="center"/>
          </w:tcPr>
          <w:p w14:paraId="6102670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579" w:type="pct"/>
            <w:shd w:val="clear" w:color="auto" w:fill="auto"/>
            <w:noWrap w:val="0"/>
            <w:vAlign w:val="center"/>
          </w:tcPr>
          <w:p w14:paraId="1996784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劣Ⅴ</w:t>
            </w:r>
          </w:p>
        </w:tc>
      </w:tr>
    </w:tbl>
    <w:p w14:paraId="07807AE5">
      <w:pPr>
        <w:bidi w:val="0"/>
        <w:rPr>
          <w:rFonts w:hint="default"/>
        </w:rPr>
        <w:sectPr>
          <w:pgSz w:w="16838" w:h="11906" w:orient="landscape"/>
          <w:pgMar w:top="1440" w:right="1800" w:bottom="1440" w:left="1800" w:header="851" w:footer="992" w:gutter="0"/>
          <w:pgNumType w:fmt="numberInDash"/>
          <w:cols w:space="0" w:num="1"/>
          <w:rtlGutter w:val="0"/>
          <w:docGrid w:type="lines" w:linePitch="332" w:charSpace="0"/>
        </w:sectPr>
      </w:pPr>
    </w:p>
    <w:p w14:paraId="4837812F">
      <w:pPr>
        <w:bidi w:val="0"/>
        <w:rPr>
          <w:rFonts w:hint="default"/>
        </w:rPr>
      </w:pPr>
    </w:p>
    <w:p w14:paraId="73B28C95">
      <w:pPr>
        <w:pStyle w:val="16"/>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1-6</w:t>
      </w:r>
      <w:r>
        <w:rPr>
          <w:rFonts w:hint="default" w:ascii="Times New Roman" w:hAnsi="Times New Roman" w:cs="Times New Roman"/>
        </w:rPr>
        <w:t>西村断面逐月水质状况</w:t>
      </w:r>
      <w:r>
        <w:rPr>
          <w:rFonts w:hint="default" w:ascii="Times New Roman" w:hAnsi="Times New Roman" w:cs="Times New Roman"/>
          <w:lang w:eastAsia="zh-CN"/>
        </w:rPr>
        <w:t>（</w:t>
      </w:r>
      <w:r>
        <w:rPr>
          <w:rFonts w:hint="default" w:ascii="Times New Roman" w:hAnsi="Times New Roman" w:cs="Times New Roman"/>
        </w:rPr>
        <w:t>2015-2020年</w:t>
      </w:r>
      <w:r>
        <w:rPr>
          <w:rFonts w:hint="default" w:ascii="Times New Roman" w:hAnsi="Times New Roman" w:cs="Times New Roman"/>
          <w:lang w:eastAsia="zh-CN"/>
        </w:rPr>
        <w:t>）</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209"/>
        <w:gridCol w:w="656"/>
        <w:gridCol w:w="957"/>
        <w:gridCol w:w="833"/>
        <w:gridCol w:w="776"/>
        <w:gridCol w:w="806"/>
        <w:gridCol w:w="806"/>
        <w:gridCol w:w="806"/>
        <w:gridCol w:w="806"/>
        <w:gridCol w:w="806"/>
        <w:gridCol w:w="927"/>
        <w:gridCol w:w="919"/>
        <w:gridCol w:w="927"/>
        <w:gridCol w:w="1105"/>
      </w:tblGrid>
      <w:tr w14:paraId="11747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14" w:type="pct"/>
            <w:noWrap w:val="0"/>
            <w:vAlign w:val="center"/>
          </w:tcPr>
          <w:p w14:paraId="5B9D8F4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年份</w:t>
            </w:r>
          </w:p>
        </w:tc>
        <w:tc>
          <w:tcPr>
            <w:tcW w:w="449" w:type="pct"/>
            <w:noWrap w:val="0"/>
            <w:vAlign w:val="center"/>
          </w:tcPr>
          <w:p w14:paraId="63736B9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水质</w:t>
            </w:r>
          </w:p>
          <w:p w14:paraId="130E929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目标</w:t>
            </w:r>
          </w:p>
        </w:tc>
        <w:tc>
          <w:tcPr>
            <w:tcW w:w="244" w:type="pct"/>
            <w:noWrap w:val="0"/>
            <w:vAlign w:val="center"/>
          </w:tcPr>
          <w:p w14:paraId="1B02FE6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1月</w:t>
            </w:r>
          </w:p>
        </w:tc>
        <w:tc>
          <w:tcPr>
            <w:tcW w:w="355" w:type="pct"/>
            <w:noWrap w:val="0"/>
            <w:vAlign w:val="center"/>
          </w:tcPr>
          <w:p w14:paraId="44EEDB3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w:t>
            </w:r>
          </w:p>
          <w:p w14:paraId="402A077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月</w:t>
            </w:r>
          </w:p>
        </w:tc>
        <w:tc>
          <w:tcPr>
            <w:tcW w:w="309" w:type="pct"/>
            <w:noWrap w:val="0"/>
            <w:vAlign w:val="center"/>
          </w:tcPr>
          <w:p w14:paraId="2469EC2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3月</w:t>
            </w:r>
          </w:p>
        </w:tc>
        <w:tc>
          <w:tcPr>
            <w:tcW w:w="288" w:type="pct"/>
            <w:noWrap w:val="0"/>
            <w:vAlign w:val="center"/>
          </w:tcPr>
          <w:p w14:paraId="439F4DF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4月</w:t>
            </w:r>
          </w:p>
        </w:tc>
        <w:tc>
          <w:tcPr>
            <w:tcW w:w="299" w:type="pct"/>
            <w:noWrap w:val="0"/>
            <w:vAlign w:val="center"/>
          </w:tcPr>
          <w:p w14:paraId="467E69E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5月</w:t>
            </w:r>
          </w:p>
        </w:tc>
        <w:tc>
          <w:tcPr>
            <w:tcW w:w="299" w:type="pct"/>
            <w:noWrap w:val="0"/>
            <w:vAlign w:val="center"/>
          </w:tcPr>
          <w:p w14:paraId="72611F8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6月</w:t>
            </w:r>
          </w:p>
        </w:tc>
        <w:tc>
          <w:tcPr>
            <w:tcW w:w="299" w:type="pct"/>
            <w:noWrap w:val="0"/>
            <w:vAlign w:val="center"/>
          </w:tcPr>
          <w:p w14:paraId="613D6F0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7月</w:t>
            </w:r>
          </w:p>
        </w:tc>
        <w:tc>
          <w:tcPr>
            <w:tcW w:w="299" w:type="pct"/>
            <w:noWrap w:val="0"/>
            <w:vAlign w:val="center"/>
          </w:tcPr>
          <w:p w14:paraId="3156321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8月</w:t>
            </w:r>
          </w:p>
        </w:tc>
        <w:tc>
          <w:tcPr>
            <w:tcW w:w="299" w:type="pct"/>
            <w:noWrap w:val="0"/>
            <w:vAlign w:val="center"/>
          </w:tcPr>
          <w:p w14:paraId="6DF0983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9月</w:t>
            </w:r>
          </w:p>
        </w:tc>
        <w:tc>
          <w:tcPr>
            <w:tcW w:w="344" w:type="pct"/>
            <w:noWrap w:val="0"/>
            <w:vAlign w:val="center"/>
          </w:tcPr>
          <w:p w14:paraId="28DD2D4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10月</w:t>
            </w:r>
          </w:p>
        </w:tc>
        <w:tc>
          <w:tcPr>
            <w:tcW w:w="341" w:type="pct"/>
            <w:noWrap w:val="0"/>
            <w:vAlign w:val="center"/>
          </w:tcPr>
          <w:p w14:paraId="58E0292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11月</w:t>
            </w:r>
          </w:p>
        </w:tc>
        <w:tc>
          <w:tcPr>
            <w:tcW w:w="344" w:type="pct"/>
            <w:noWrap w:val="0"/>
            <w:vAlign w:val="center"/>
          </w:tcPr>
          <w:p w14:paraId="73C197A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12月</w:t>
            </w:r>
          </w:p>
        </w:tc>
        <w:tc>
          <w:tcPr>
            <w:tcW w:w="410" w:type="pct"/>
            <w:noWrap w:val="0"/>
            <w:vAlign w:val="center"/>
          </w:tcPr>
          <w:p w14:paraId="1967B78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年均值</w:t>
            </w:r>
          </w:p>
        </w:tc>
      </w:tr>
      <w:tr w14:paraId="50046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14" w:type="pct"/>
            <w:noWrap w:val="0"/>
            <w:vAlign w:val="center"/>
          </w:tcPr>
          <w:p w14:paraId="3CCF6B1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2015</w:t>
            </w:r>
          </w:p>
        </w:tc>
        <w:tc>
          <w:tcPr>
            <w:tcW w:w="449" w:type="pct"/>
            <w:noWrap w:val="0"/>
            <w:vAlign w:val="center"/>
          </w:tcPr>
          <w:p w14:paraId="0640013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44" w:type="pct"/>
            <w:noWrap w:val="0"/>
            <w:vAlign w:val="center"/>
          </w:tcPr>
          <w:p w14:paraId="6CC50EA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55" w:type="pct"/>
            <w:noWrap w:val="0"/>
            <w:vAlign w:val="center"/>
          </w:tcPr>
          <w:p w14:paraId="6809893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09" w:type="pct"/>
            <w:noWrap w:val="0"/>
            <w:vAlign w:val="center"/>
          </w:tcPr>
          <w:p w14:paraId="118FBCE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88" w:type="pct"/>
            <w:noWrap w:val="0"/>
            <w:vAlign w:val="center"/>
          </w:tcPr>
          <w:p w14:paraId="3C69746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99" w:type="pct"/>
            <w:noWrap w:val="0"/>
            <w:vAlign w:val="center"/>
          </w:tcPr>
          <w:p w14:paraId="68CC694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99" w:type="pct"/>
            <w:noWrap w:val="0"/>
            <w:vAlign w:val="center"/>
          </w:tcPr>
          <w:p w14:paraId="449B1E6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99" w:type="pct"/>
            <w:noWrap w:val="0"/>
            <w:vAlign w:val="center"/>
          </w:tcPr>
          <w:p w14:paraId="1ED8345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99" w:type="pct"/>
            <w:noWrap w:val="0"/>
            <w:vAlign w:val="center"/>
          </w:tcPr>
          <w:p w14:paraId="5DA4AC3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99" w:type="pct"/>
            <w:noWrap w:val="0"/>
            <w:vAlign w:val="center"/>
          </w:tcPr>
          <w:p w14:paraId="268DBEF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44" w:type="pct"/>
            <w:noWrap w:val="0"/>
            <w:vAlign w:val="center"/>
          </w:tcPr>
          <w:p w14:paraId="5266705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41" w:type="pct"/>
            <w:noWrap w:val="0"/>
            <w:vAlign w:val="center"/>
          </w:tcPr>
          <w:p w14:paraId="2A9939A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44" w:type="pct"/>
            <w:noWrap w:val="0"/>
            <w:vAlign w:val="center"/>
          </w:tcPr>
          <w:p w14:paraId="2F03AC9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410" w:type="pct"/>
            <w:noWrap w:val="0"/>
            <w:vAlign w:val="center"/>
          </w:tcPr>
          <w:p w14:paraId="226F66D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r>
      <w:tr w14:paraId="6D233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14" w:type="pct"/>
            <w:noWrap w:val="0"/>
            <w:vAlign w:val="center"/>
          </w:tcPr>
          <w:p w14:paraId="2621706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2016</w:t>
            </w:r>
          </w:p>
        </w:tc>
        <w:tc>
          <w:tcPr>
            <w:tcW w:w="449" w:type="pct"/>
            <w:noWrap w:val="0"/>
            <w:vAlign w:val="center"/>
          </w:tcPr>
          <w:p w14:paraId="21CDFF2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44" w:type="pct"/>
            <w:noWrap w:val="0"/>
            <w:vAlign w:val="center"/>
          </w:tcPr>
          <w:p w14:paraId="79F3F8D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55" w:type="pct"/>
            <w:noWrap w:val="0"/>
            <w:vAlign w:val="center"/>
          </w:tcPr>
          <w:p w14:paraId="4D5D28D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09" w:type="pct"/>
            <w:noWrap w:val="0"/>
            <w:vAlign w:val="center"/>
          </w:tcPr>
          <w:p w14:paraId="259DA7C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88" w:type="pct"/>
            <w:noWrap w:val="0"/>
            <w:vAlign w:val="center"/>
          </w:tcPr>
          <w:p w14:paraId="32A359B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99" w:type="pct"/>
            <w:noWrap w:val="0"/>
            <w:vAlign w:val="center"/>
          </w:tcPr>
          <w:p w14:paraId="300324F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99" w:type="pct"/>
            <w:noWrap w:val="0"/>
            <w:vAlign w:val="center"/>
          </w:tcPr>
          <w:p w14:paraId="29C0094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IV</w:t>
            </w:r>
          </w:p>
        </w:tc>
        <w:tc>
          <w:tcPr>
            <w:tcW w:w="299" w:type="pct"/>
            <w:noWrap w:val="0"/>
            <w:vAlign w:val="center"/>
          </w:tcPr>
          <w:p w14:paraId="16905F2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99" w:type="pct"/>
            <w:noWrap w:val="0"/>
            <w:vAlign w:val="center"/>
          </w:tcPr>
          <w:p w14:paraId="70A0ED5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99" w:type="pct"/>
            <w:noWrap w:val="0"/>
            <w:vAlign w:val="center"/>
          </w:tcPr>
          <w:p w14:paraId="0BDE879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44" w:type="pct"/>
            <w:noWrap w:val="0"/>
            <w:vAlign w:val="center"/>
          </w:tcPr>
          <w:p w14:paraId="68C6C16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 4 \* ROMAN </w:instrText>
            </w:r>
            <w:r>
              <w:rPr>
                <w:rFonts w:hint="default" w:ascii="Times New Roman" w:hAnsi="Times New Roman" w:cs="Times New Roman"/>
              </w:rPr>
              <w:fldChar w:fldCharType="separate"/>
            </w:r>
            <w:r>
              <w:rPr>
                <w:rFonts w:hint="default" w:ascii="Times New Roman" w:hAnsi="Times New Roman" w:cs="Times New Roman"/>
              </w:rPr>
              <w:t>IV</w:t>
            </w:r>
            <w:r>
              <w:rPr>
                <w:rFonts w:hint="default" w:ascii="Times New Roman" w:hAnsi="Times New Roman" w:cs="Times New Roman"/>
              </w:rPr>
              <w:fldChar w:fldCharType="end"/>
            </w:r>
          </w:p>
        </w:tc>
        <w:tc>
          <w:tcPr>
            <w:tcW w:w="341" w:type="pct"/>
            <w:noWrap w:val="0"/>
            <w:vAlign w:val="center"/>
          </w:tcPr>
          <w:p w14:paraId="687F63D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 4 \* ROMAN </w:instrText>
            </w:r>
            <w:r>
              <w:rPr>
                <w:rFonts w:hint="default" w:ascii="Times New Roman" w:hAnsi="Times New Roman" w:cs="Times New Roman"/>
              </w:rPr>
              <w:fldChar w:fldCharType="separate"/>
            </w:r>
            <w:r>
              <w:rPr>
                <w:rFonts w:hint="default" w:ascii="Times New Roman" w:hAnsi="Times New Roman" w:cs="Times New Roman"/>
              </w:rPr>
              <w:t>IV</w:t>
            </w:r>
            <w:r>
              <w:rPr>
                <w:rFonts w:hint="default" w:ascii="Times New Roman" w:hAnsi="Times New Roman" w:cs="Times New Roman"/>
              </w:rPr>
              <w:fldChar w:fldCharType="end"/>
            </w:r>
          </w:p>
        </w:tc>
        <w:tc>
          <w:tcPr>
            <w:tcW w:w="344" w:type="pct"/>
            <w:noWrap w:val="0"/>
            <w:vAlign w:val="center"/>
          </w:tcPr>
          <w:p w14:paraId="0D6894A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 4 \* ROMAN </w:instrText>
            </w:r>
            <w:r>
              <w:rPr>
                <w:rFonts w:hint="default" w:ascii="Times New Roman" w:hAnsi="Times New Roman" w:cs="Times New Roman"/>
              </w:rPr>
              <w:fldChar w:fldCharType="separate"/>
            </w:r>
            <w:r>
              <w:rPr>
                <w:rFonts w:hint="default" w:ascii="Times New Roman" w:hAnsi="Times New Roman" w:cs="Times New Roman"/>
              </w:rPr>
              <w:t>IV</w:t>
            </w:r>
            <w:r>
              <w:rPr>
                <w:rFonts w:hint="default" w:ascii="Times New Roman" w:hAnsi="Times New Roman" w:cs="Times New Roman"/>
              </w:rPr>
              <w:fldChar w:fldCharType="end"/>
            </w:r>
          </w:p>
        </w:tc>
        <w:tc>
          <w:tcPr>
            <w:tcW w:w="410" w:type="pct"/>
            <w:noWrap w:val="0"/>
            <w:vAlign w:val="center"/>
          </w:tcPr>
          <w:p w14:paraId="306F9F2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r>
      <w:tr w14:paraId="12938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14" w:type="pct"/>
            <w:noWrap w:val="0"/>
            <w:vAlign w:val="center"/>
          </w:tcPr>
          <w:p w14:paraId="42234A0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2017</w:t>
            </w:r>
          </w:p>
        </w:tc>
        <w:tc>
          <w:tcPr>
            <w:tcW w:w="449" w:type="pct"/>
            <w:noWrap w:val="0"/>
            <w:vAlign w:val="center"/>
          </w:tcPr>
          <w:p w14:paraId="41889F1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44" w:type="pct"/>
            <w:noWrap w:val="0"/>
            <w:vAlign w:val="center"/>
          </w:tcPr>
          <w:p w14:paraId="0E219AF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IV</w:t>
            </w:r>
          </w:p>
        </w:tc>
        <w:tc>
          <w:tcPr>
            <w:tcW w:w="355" w:type="pct"/>
            <w:noWrap w:val="0"/>
            <w:vAlign w:val="center"/>
          </w:tcPr>
          <w:p w14:paraId="0931332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09" w:type="pct"/>
            <w:noWrap w:val="0"/>
            <w:vAlign w:val="center"/>
          </w:tcPr>
          <w:p w14:paraId="53F8CAA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88" w:type="pct"/>
            <w:noWrap w:val="0"/>
            <w:vAlign w:val="center"/>
          </w:tcPr>
          <w:p w14:paraId="226306F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99" w:type="pct"/>
            <w:noWrap w:val="0"/>
            <w:vAlign w:val="center"/>
          </w:tcPr>
          <w:p w14:paraId="751FD3D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99" w:type="pct"/>
            <w:noWrap w:val="0"/>
            <w:vAlign w:val="center"/>
          </w:tcPr>
          <w:p w14:paraId="3244AD4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99" w:type="pct"/>
            <w:noWrap w:val="0"/>
            <w:vAlign w:val="center"/>
          </w:tcPr>
          <w:p w14:paraId="6C2E3FA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99" w:type="pct"/>
            <w:noWrap w:val="0"/>
            <w:vAlign w:val="center"/>
          </w:tcPr>
          <w:p w14:paraId="79407EF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99" w:type="pct"/>
            <w:noWrap w:val="0"/>
            <w:vAlign w:val="center"/>
          </w:tcPr>
          <w:p w14:paraId="3B5E73E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44" w:type="pct"/>
            <w:noWrap w:val="0"/>
            <w:vAlign w:val="center"/>
          </w:tcPr>
          <w:p w14:paraId="34F833F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41" w:type="pct"/>
            <w:noWrap w:val="0"/>
            <w:vAlign w:val="center"/>
          </w:tcPr>
          <w:p w14:paraId="50F14E4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44" w:type="pct"/>
            <w:noWrap w:val="0"/>
            <w:vAlign w:val="center"/>
          </w:tcPr>
          <w:p w14:paraId="469EFC1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410" w:type="pct"/>
            <w:noWrap w:val="0"/>
            <w:vAlign w:val="center"/>
          </w:tcPr>
          <w:p w14:paraId="179A5EE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r>
      <w:tr w14:paraId="70461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14" w:type="pct"/>
            <w:noWrap w:val="0"/>
            <w:vAlign w:val="center"/>
          </w:tcPr>
          <w:p w14:paraId="0945F1D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2018</w:t>
            </w:r>
          </w:p>
        </w:tc>
        <w:tc>
          <w:tcPr>
            <w:tcW w:w="449" w:type="pct"/>
            <w:noWrap w:val="0"/>
            <w:vAlign w:val="center"/>
          </w:tcPr>
          <w:p w14:paraId="686DD2F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44" w:type="pct"/>
            <w:noWrap w:val="0"/>
            <w:vAlign w:val="center"/>
          </w:tcPr>
          <w:p w14:paraId="00A2927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55" w:type="pct"/>
            <w:noWrap w:val="0"/>
            <w:vAlign w:val="center"/>
          </w:tcPr>
          <w:p w14:paraId="6781C97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09" w:type="pct"/>
            <w:noWrap w:val="0"/>
            <w:vAlign w:val="center"/>
          </w:tcPr>
          <w:p w14:paraId="346B7F5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88" w:type="pct"/>
            <w:noWrap w:val="0"/>
            <w:vAlign w:val="center"/>
          </w:tcPr>
          <w:p w14:paraId="4DCD66F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99" w:type="pct"/>
            <w:noWrap w:val="0"/>
            <w:vAlign w:val="center"/>
          </w:tcPr>
          <w:p w14:paraId="4F1C4BF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99" w:type="pct"/>
            <w:noWrap w:val="0"/>
            <w:vAlign w:val="center"/>
          </w:tcPr>
          <w:p w14:paraId="4CA4B52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99" w:type="pct"/>
            <w:noWrap w:val="0"/>
            <w:vAlign w:val="center"/>
          </w:tcPr>
          <w:p w14:paraId="23641CE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99" w:type="pct"/>
            <w:noWrap w:val="0"/>
            <w:vAlign w:val="center"/>
          </w:tcPr>
          <w:p w14:paraId="2A6D95C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99" w:type="pct"/>
            <w:noWrap w:val="0"/>
            <w:vAlign w:val="center"/>
          </w:tcPr>
          <w:p w14:paraId="17E9576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44" w:type="pct"/>
            <w:noWrap w:val="0"/>
            <w:vAlign w:val="center"/>
          </w:tcPr>
          <w:p w14:paraId="4A6C2DB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41" w:type="pct"/>
            <w:noWrap w:val="0"/>
            <w:vAlign w:val="center"/>
          </w:tcPr>
          <w:p w14:paraId="3D0E98A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44" w:type="pct"/>
            <w:noWrap w:val="0"/>
            <w:vAlign w:val="center"/>
          </w:tcPr>
          <w:p w14:paraId="7951504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410" w:type="pct"/>
            <w:noWrap w:val="0"/>
            <w:vAlign w:val="center"/>
          </w:tcPr>
          <w:p w14:paraId="3914DCC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r>
      <w:tr w14:paraId="3D98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14" w:type="pct"/>
            <w:noWrap w:val="0"/>
            <w:vAlign w:val="center"/>
          </w:tcPr>
          <w:p w14:paraId="3B59872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2019</w:t>
            </w:r>
          </w:p>
        </w:tc>
        <w:tc>
          <w:tcPr>
            <w:tcW w:w="449" w:type="pct"/>
            <w:noWrap w:val="0"/>
            <w:vAlign w:val="center"/>
          </w:tcPr>
          <w:p w14:paraId="5926C27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44" w:type="pct"/>
            <w:noWrap w:val="0"/>
            <w:vAlign w:val="center"/>
          </w:tcPr>
          <w:p w14:paraId="5AB8633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55" w:type="pct"/>
            <w:noWrap w:val="0"/>
            <w:vAlign w:val="center"/>
          </w:tcPr>
          <w:p w14:paraId="09B4B4F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09" w:type="pct"/>
            <w:noWrap w:val="0"/>
            <w:vAlign w:val="center"/>
          </w:tcPr>
          <w:p w14:paraId="61A4042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88" w:type="pct"/>
            <w:noWrap w:val="0"/>
            <w:vAlign w:val="center"/>
          </w:tcPr>
          <w:p w14:paraId="1B8D8A8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99" w:type="pct"/>
            <w:noWrap w:val="0"/>
            <w:vAlign w:val="center"/>
          </w:tcPr>
          <w:p w14:paraId="25CA30F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99" w:type="pct"/>
            <w:noWrap w:val="0"/>
            <w:vAlign w:val="center"/>
          </w:tcPr>
          <w:p w14:paraId="491A82B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99" w:type="pct"/>
            <w:noWrap w:val="0"/>
            <w:vAlign w:val="center"/>
          </w:tcPr>
          <w:p w14:paraId="08E1D04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99" w:type="pct"/>
            <w:noWrap w:val="0"/>
            <w:vAlign w:val="center"/>
          </w:tcPr>
          <w:p w14:paraId="66BD6DD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99" w:type="pct"/>
            <w:noWrap w:val="0"/>
            <w:vAlign w:val="center"/>
          </w:tcPr>
          <w:p w14:paraId="511FD53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44" w:type="pct"/>
            <w:noWrap w:val="0"/>
            <w:vAlign w:val="center"/>
          </w:tcPr>
          <w:p w14:paraId="6E2A0FF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41" w:type="pct"/>
            <w:noWrap w:val="0"/>
            <w:vAlign w:val="center"/>
          </w:tcPr>
          <w:p w14:paraId="05F4297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44" w:type="pct"/>
            <w:noWrap w:val="0"/>
            <w:vAlign w:val="center"/>
          </w:tcPr>
          <w:p w14:paraId="6EC3F2E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410" w:type="pct"/>
            <w:noWrap w:val="0"/>
            <w:vAlign w:val="center"/>
          </w:tcPr>
          <w:p w14:paraId="1BDDB11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r>
      <w:tr w14:paraId="4C51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14" w:type="pct"/>
            <w:noWrap w:val="0"/>
            <w:vAlign w:val="center"/>
          </w:tcPr>
          <w:p w14:paraId="53F73FD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2020</w:t>
            </w:r>
          </w:p>
        </w:tc>
        <w:tc>
          <w:tcPr>
            <w:tcW w:w="449" w:type="pct"/>
            <w:noWrap w:val="0"/>
            <w:vAlign w:val="center"/>
          </w:tcPr>
          <w:p w14:paraId="0E1BB85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244" w:type="pct"/>
            <w:noWrap w:val="0"/>
            <w:vAlign w:val="center"/>
          </w:tcPr>
          <w:p w14:paraId="66AC958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w:t>
            </w:r>
          </w:p>
        </w:tc>
        <w:tc>
          <w:tcPr>
            <w:tcW w:w="355" w:type="pct"/>
            <w:noWrap w:val="0"/>
            <w:vAlign w:val="center"/>
          </w:tcPr>
          <w:p w14:paraId="698FF57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劣Ⅴ</w:t>
            </w:r>
          </w:p>
        </w:tc>
        <w:tc>
          <w:tcPr>
            <w:tcW w:w="309" w:type="pct"/>
            <w:noWrap w:val="0"/>
            <w:vAlign w:val="center"/>
          </w:tcPr>
          <w:p w14:paraId="43F0956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劣Ⅴ</w:t>
            </w:r>
          </w:p>
        </w:tc>
        <w:tc>
          <w:tcPr>
            <w:tcW w:w="288" w:type="pct"/>
            <w:noWrap w:val="0"/>
            <w:vAlign w:val="center"/>
          </w:tcPr>
          <w:p w14:paraId="17671C7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Ⅱ</w:t>
            </w:r>
          </w:p>
        </w:tc>
        <w:tc>
          <w:tcPr>
            <w:tcW w:w="299" w:type="pct"/>
            <w:noWrap w:val="0"/>
            <w:vAlign w:val="center"/>
          </w:tcPr>
          <w:p w14:paraId="0337FD9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Ⅲ</w:t>
            </w:r>
          </w:p>
        </w:tc>
        <w:tc>
          <w:tcPr>
            <w:tcW w:w="299" w:type="pct"/>
            <w:noWrap w:val="0"/>
            <w:vAlign w:val="center"/>
          </w:tcPr>
          <w:p w14:paraId="5D65778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Ⅲ</w:t>
            </w:r>
          </w:p>
        </w:tc>
        <w:tc>
          <w:tcPr>
            <w:tcW w:w="299" w:type="pct"/>
            <w:noWrap w:val="0"/>
            <w:vAlign w:val="center"/>
          </w:tcPr>
          <w:p w14:paraId="1660F83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Ⅲ</w:t>
            </w:r>
          </w:p>
        </w:tc>
        <w:tc>
          <w:tcPr>
            <w:tcW w:w="299" w:type="pct"/>
            <w:noWrap w:val="0"/>
            <w:vAlign w:val="center"/>
          </w:tcPr>
          <w:p w14:paraId="0567493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Ⅲ</w:t>
            </w:r>
          </w:p>
        </w:tc>
        <w:tc>
          <w:tcPr>
            <w:tcW w:w="299" w:type="pct"/>
            <w:noWrap w:val="0"/>
            <w:vAlign w:val="center"/>
          </w:tcPr>
          <w:p w14:paraId="21D9BDBB">
            <w:pPr>
              <w:pStyle w:val="17"/>
              <w:kinsoku/>
              <w:wordWrap/>
              <w:topLinePunct w:val="0"/>
              <w:autoSpaceDE/>
              <w:autoSpaceDN/>
              <w:bidi w:val="0"/>
              <w:adjustRightInd/>
              <w:snapToGrid/>
              <w:textAlignment w:val="auto"/>
              <w:rPr>
                <w:rFonts w:hint="default" w:ascii="Times New Roman" w:hAnsi="Times New Roman" w:cs="Times New Roman"/>
              </w:rPr>
            </w:pPr>
          </w:p>
        </w:tc>
        <w:tc>
          <w:tcPr>
            <w:tcW w:w="344" w:type="pct"/>
            <w:noWrap w:val="0"/>
            <w:vAlign w:val="center"/>
          </w:tcPr>
          <w:p w14:paraId="1F102F01">
            <w:pPr>
              <w:pStyle w:val="17"/>
              <w:kinsoku/>
              <w:wordWrap/>
              <w:topLinePunct w:val="0"/>
              <w:autoSpaceDE/>
              <w:autoSpaceDN/>
              <w:bidi w:val="0"/>
              <w:adjustRightInd/>
              <w:snapToGrid/>
              <w:textAlignment w:val="auto"/>
              <w:rPr>
                <w:rFonts w:hint="default" w:ascii="Times New Roman" w:hAnsi="Times New Roman" w:cs="Times New Roman"/>
              </w:rPr>
            </w:pPr>
          </w:p>
        </w:tc>
        <w:tc>
          <w:tcPr>
            <w:tcW w:w="341" w:type="pct"/>
            <w:noWrap w:val="0"/>
            <w:vAlign w:val="center"/>
          </w:tcPr>
          <w:p w14:paraId="4189DFAA">
            <w:pPr>
              <w:pStyle w:val="17"/>
              <w:kinsoku/>
              <w:wordWrap/>
              <w:topLinePunct w:val="0"/>
              <w:autoSpaceDE/>
              <w:autoSpaceDN/>
              <w:bidi w:val="0"/>
              <w:adjustRightInd/>
              <w:snapToGrid/>
              <w:textAlignment w:val="auto"/>
              <w:rPr>
                <w:rFonts w:hint="default" w:ascii="Times New Roman" w:hAnsi="Times New Roman" w:cs="Times New Roman"/>
              </w:rPr>
            </w:pPr>
          </w:p>
        </w:tc>
        <w:tc>
          <w:tcPr>
            <w:tcW w:w="344" w:type="pct"/>
            <w:noWrap w:val="0"/>
            <w:vAlign w:val="center"/>
          </w:tcPr>
          <w:p w14:paraId="03656458">
            <w:pPr>
              <w:pStyle w:val="17"/>
              <w:kinsoku/>
              <w:wordWrap/>
              <w:topLinePunct w:val="0"/>
              <w:autoSpaceDE/>
              <w:autoSpaceDN/>
              <w:bidi w:val="0"/>
              <w:adjustRightInd/>
              <w:snapToGrid/>
              <w:textAlignment w:val="auto"/>
              <w:rPr>
                <w:rFonts w:hint="default" w:ascii="Times New Roman" w:hAnsi="Times New Roman" w:cs="Times New Roman"/>
              </w:rPr>
            </w:pPr>
          </w:p>
        </w:tc>
        <w:tc>
          <w:tcPr>
            <w:tcW w:w="410" w:type="pct"/>
            <w:noWrap w:val="0"/>
            <w:vAlign w:val="center"/>
          </w:tcPr>
          <w:p w14:paraId="719278B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劣Ⅴ</w:t>
            </w:r>
          </w:p>
        </w:tc>
      </w:tr>
    </w:tbl>
    <w:p w14:paraId="4F156B42">
      <w:pPr>
        <w:kinsoku/>
        <w:wordWrap/>
        <w:topLinePunct w:val="0"/>
        <w:autoSpaceDE/>
        <w:autoSpaceDN/>
        <w:bidi w:val="0"/>
        <w:adjustRightInd/>
        <w:snapToGrid/>
        <w:textAlignment w:val="auto"/>
        <w:rPr>
          <w:rFonts w:hint="default" w:ascii="Times New Roman" w:hAnsi="Times New Roman" w:cs="Times New Roman"/>
        </w:rPr>
      </w:pPr>
    </w:p>
    <w:p w14:paraId="0FAD23A3">
      <w:pPr>
        <w:pStyle w:val="16"/>
        <w:kinsoku/>
        <w:wordWrap/>
        <w:topLinePunct w:val="0"/>
        <w:autoSpaceDE/>
        <w:autoSpaceDN/>
        <w:bidi w:val="0"/>
        <w:adjustRightInd/>
        <w:snapToGrid/>
        <w:textAlignment w:val="auto"/>
        <w:rPr>
          <w:rFonts w:hint="default" w:ascii="Times New Roman" w:hAnsi="Times New Roman" w:eastAsia="宋体" w:cs="Times New Roman"/>
          <w:lang w:eastAsia="zh-CN"/>
        </w:rPr>
      </w:pPr>
      <w:r>
        <w:rPr>
          <w:rFonts w:hint="default" w:ascii="Times New Roman" w:hAnsi="Times New Roman" w:cs="Times New Roman"/>
        </w:rPr>
        <w:t>表</w:t>
      </w:r>
      <w:r>
        <w:rPr>
          <w:rFonts w:hint="eastAsia" w:cs="Times New Roman"/>
          <w:lang w:val="en-US" w:eastAsia="zh-CN"/>
        </w:rPr>
        <w:t>1-7</w:t>
      </w:r>
      <w:r>
        <w:rPr>
          <w:rFonts w:hint="default" w:ascii="Times New Roman" w:hAnsi="Times New Roman" w:cs="Times New Roman"/>
        </w:rPr>
        <w:t>参乡一号桥断面年均水质状况</w:t>
      </w:r>
      <w:r>
        <w:rPr>
          <w:rFonts w:hint="default" w:ascii="Times New Roman" w:hAnsi="Times New Roman" w:cs="Times New Roman"/>
          <w:lang w:eastAsia="zh-CN"/>
        </w:rPr>
        <w:t>（</w:t>
      </w:r>
      <w:r>
        <w:rPr>
          <w:rFonts w:hint="default" w:ascii="Times New Roman" w:hAnsi="Times New Roman" w:cs="Times New Roman"/>
        </w:rPr>
        <w:t>2015-2020年</w:t>
      </w:r>
      <w:r>
        <w:rPr>
          <w:rFonts w:hint="default" w:ascii="Times New Roman" w:hAnsi="Times New Roman" w:cs="Times New Roman"/>
          <w:lang w:eastAsia="zh-CN"/>
        </w:rPr>
        <w:t>）</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94"/>
        <w:gridCol w:w="994"/>
        <w:gridCol w:w="994"/>
        <w:gridCol w:w="996"/>
        <w:gridCol w:w="996"/>
        <w:gridCol w:w="1225"/>
        <w:gridCol w:w="1225"/>
        <w:gridCol w:w="1004"/>
        <w:gridCol w:w="1004"/>
        <w:gridCol w:w="1004"/>
        <w:gridCol w:w="1005"/>
        <w:gridCol w:w="1005"/>
        <w:gridCol w:w="1008"/>
      </w:tblGrid>
      <w:tr w14:paraId="113B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trPr>
        <w:tc>
          <w:tcPr>
            <w:tcW w:w="369" w:type="pct"/>
            <w:vMerge w:val="restart"/>
            <w:shd w:val="clear" w:color="auto" w:fill="auto"/>
            <w:noWrap w:val="0"/>
            <w:vAlign w:val="center"/>
          </w:tcPr>
          <w:p w14:paraId="7FBD600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流域</w:t>
            </w:r>
          </w:p>
        </w:tc>
        <w:tc>
          <w:tcPr>
            <w:tcW w:w="369" w:type="pct"/>
            <w:vMerge w:val="restart"/>
            <w:shd w:val="clear" w:color="auto" w:fill="auto"/>
            <w:noWrap w:val="0"/>
            <w:vAlign w:val="center"/>
          </w:tcPr>
          <w:p w14:paraId="2753E25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汇水范围</w:t>
            </w:r>
          </w:p>
        </w:tc>
        <w:tc>
          <w:tcPr>
            <w:tcW w:w="369" w:type="pct"/>
            <w:vMerge w:val="restart"/>
            <w:shd w:val="clear" w:color="auto" w:fill="auto"/>
            <w:noWrap w:val="0"/>
            <w:vAlign w:val="center"/>
          </w:tcPr>
          <w:p w14:paraId="576A6E9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断面名称</w:t>
            </w:r>
          </w:p>
        </w:tc>
        <w:tc>
          <w:tcPr>
            <w:tcW w:w="370" w:type="pct"/>
            <w:vMerge w:val="restart"/>
            <w:shd w:val="clear" w:color="auto" w:fill="auto"/>
            <w:noWrap w:val="0"/>
            <w:vAlign w:val="center"/>
          </w:tcPr>
          <w:p w14:paraId="7FDB12B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所在水体</w:t>
            </w:r>
          </w:p>
        </w:tc>
        <w:tc>
          <w:tcPr>
            <w:tcW w:w="370" w:type="pct"/>
            <w:vMerge w:val="restart"/>
            <w:shd w:val="clear" w:color="auto" w:fill="auto"/>
            <w:noWrap w:val="0"/>
            <w:vAlign w:val="center"/>
          </w:tcPr>
          <w:p w14:paraId="33920F3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断面级别</w:t>
            </w:r>
          </w:p>
        </w:tc>
        <w:tc>
          <w:tcPr>
            <w:tcW w:w="455" w:type="pct"/>
            <w:vMerge w:val="restart"/>
            <w:shd w:val="clear" w:color="auto" w:fill="auto"/>
            <w:noWrap w:val="0"/>
            <w:vAlign w:val="center"/>
          </w:tcPr>
          <w:p w14:paraId="0A094C9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经度</w:t>
            </w:r>
          </w:p>
        </w:tc>
        <w:tc>
          <w:tcPr>
            <w:tcW w:w="455" w:type="pct"/>
            <w:vMerge w:val="restart"/>
            <w:shd w:val="clear" w:color="auto" w:fill="auto"/>
            <w:noWrap w:val="0"/>
            <w:vAlign w:val="center"/>
          </w:tcPr>
          <w:p w14:paraId="58BA0D2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纬度</w:t>
            </w:r>
          </w:p>
        </w:tc>
        <w:tc>
          <w:tcPr>
            <w:tcW w:w="2239" w:type="pct"/>
            <w:gridSpan w:val="6"/>
            <w:shd w:val="clear" w:color="auto" w:fill="auto"/>
            <w:noWrap w:val="0"/>
            <w:vAlign w:val="center"/>
          </w:tcPr>
          <w:p w14:paraId="3502978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水质状况</w:t>
            </w:r>
          </w:p>
        </w:tc>
      </w:tr>
      <w:tr w14:paraId="4C430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9" w:type="pct"/>
            <w:vMerge w:val="continue"/>
            <w:shd w:val="clear" w:color="auto" w:fill="auto"/>
            <w:noWrap w:val="0"/>
            <w:vAlign w:val="center"/>
          </w:tcPr>
          <w:p w14:paraId="73B36F78">
            <w:pPr>
              <w:pStyle w:val="17"/>
              <w:kinsoku/>
              <w:wordWrap/>
              <w:topLinePunct w:val="0"/>
              <w:autoSpaceDE/>
              <w:autoSpaceDN/>
              <w:bidi w:val="0"/>
              <w:adjustRightInd/>
              <w:snapToGrid/>
              <w:textAlignment w:val="auto"/>
              <w:rPr>
                <w:rFonts w:hint="default" w:ascii="Times New Roman" w:hAnsi="Times New Roman" w:cs="Times New Roman"/>
              </w:rPr>
            </w:pPr>
          </w:p>
        </w:tc>
        <w:tc>
          <w:tcPr>
            <w:tcW w:w="369" w:type="pct"/>
            <w:vMerge w:val="continue"/>
            <w:shd w:val="clear" w:color="auto" w:fill="auto"/>
            <w:noWrap w:val="0"/>
            <w:vAlign w:val="center"/>
          </w:tcPr>
          <w:p w14:paraId="51FB42A6">
            <w:pPr>
              <w:pStyle w:val="17"/>
              <w:kinsoku/>
              <w:wordWrap/>
              <w:topLinePunct w:val="0"/>
              <w:autoSpaceDE/>
              <w:autoSpaceDN/>
              <w:bidi w:val="0"/>
              <w:adjustRightInd/>
              <w:snapToGrid/>
              <w:textAlignment w:val="auto"/>
              <w:rPr>
                <w:rFonts w:hint="default" w:ascii="Times New Roman" w:hAnsi="Times New Roman" w:cs="Times New Roman"/>
              </w:rPr>
            </w:pPr>
          </w:p>
        </w:tc>
        <w:tc>
          <w:tcPr>
            <w:tcW w:w="369" w:type="pct"/>
            <w:vMerge w:val="continue"/>
            <w:shd w:val="clear" w:color="auto" w:fill="auto"/>
            <w:noWrap w:val="0"/>
            <w:vAlign w:val="center"/>
          </w:tcPr>
          <w:p w14:paraId="666E1130">
            <w:pPr>
              <w:pStyle w:val="17"/>
              <w:kinsoku/>
              <w:wordWrap/>
              <w:topLinePunct w:val="0"/>
              <w:autoSpaceDE/>
              <w:autoSpaceDN/>
              <w:bidi w:val="0"/>
              <w:adjustRightInd/>
              <w:snapToGrid/>
              <w:textAlignment w:val="auto"/>
              <w:rPr>
                <w:rFonts w:hint="default" w:ascii="Times New Roman" w:hAnsi="Times New Roman" w:cs="Times New Roman"/>
              </w:rPr>
            </w:pPr>
          </w:p>
        </w:tc>
        <w:tc>
          <w:tcPr>
            <w:tcW w:w="370" w:type="pct"/>
            <w:vMerge w:val="continue"/>
            <w:shd w:val="clear" w:color="auto" w:fill="auto"/>
            <w:noWrap w:val="0"/>
            <w:vAlign w:val="center"/>
          </w:tcPr>
          <w:p w14:paraId="0642503C">
            <w:pPr>
              <w:pStyle w:val="17"/>
              <w:kinsoku/>
              <w:wordWrap/>
              <w:topLinePunct w:val="0"/>
              <w:autoSpaceDE/>
              <w:autoSpaceDN/>
              <w:bidi w:val="0"/>
              <w:adjustRightInd/>
              <w:snapToGrid/>
              <w:textAlignment w:val="auto"/>
              <w:rPr>
                <w:rFonts w:hint="default" w:ascii="Times New Roman" w:hAnsi="Times New Roman" w:cs="Times New Roman"/>
              </w:rPr>
            </w:pPr>
          </w:p>
        </w:tc>
        <w:tc>
          <w:tcPr>
            <w:tcW w:w="370" w:type="pct"/>
            <w:vMerge w:val="continue"/>
            <w:shd w:val="clear" w:color="auto" w:fill="auto"/>
            <w:noWrap w:val="0"/>
            <w:vAlign w:val="center"/>
          </w:tcPr>
          <w:p w14:paraId="3B62257A">
            <w:pPr>
              <w:pStyle w:val="17"/>
              <w:kinsoku/>
              <w:wordWrap/>
              <w:topLinePunct w:val="0"/>
              <w:autoSpaceDE/>
              <w:autoSpaceDN/>
              <w:bidi w:val="0"/>
              <w:adjustRightInd/>
              <w:snapToGrid/>
              <w:textAlignment w:val="auto"/>
              <w:rPr>
                <w:rFonts w:hint="default" w:ascii="Times New Roman" w:hAnsi="Times New Roman" w:cs="Times New Roman"/>
              </w:rPr>
            </w:pPr>
          </w:p>
        </w:tc>
        <w:tc>
          <w:tcPr>
            <w:tcW w:w="455" w:type="pct"/>
            <w:vMerge w:val="continue"/>
            <w:shd w:val="clear" w:color="auto" w:fill="auto"/>
            <w:noWrap w:val="0"/>
            <w:vAlign w:val="center"/>
          </w:tcPr>
          <w:p w14:paraId="3176822D">
            <w:pPr>
              <w:pStyle w:val="17"/>
              <w:kinsoku/>
              <w:wordWrap/>
              <w:topLinePunct w:val="0"/>
              <w:autoSpaceDE/>
              <w:autoSpaceDN/>
              <w:bidi w:val="0"/>
              <w:adjustRightInd/>
              <w:snapToGrid/>
              <w:textAlignment w:val="auto"/>
              <w:rPr>
                <w:rFonts w:hint="default" w:ascii="Times New Roman" w:hAnsi="Times New Roman" w:cs="Times New Roman"/>
              </w:rPr>
            </w:pPr>
          </w:p>
        </w:tc>
        <w:tc>
          <w:tcPr>
            <w:tcW w:w="455" w:type="pct"/>
            <w:vMerge w:val="continue"/>
            <w:shd w:val="clear" w:color="auto" w:fill="auto"/>
            <w:noWrap w:val="0"/>
            <w:vAlign w:val="center"/>
          </w:tcPr>
          <w:p w14:paraId="1FCDE3AD">
            <w:pPr>
              <w:pStyle w:val="17"/>
              <w:kinsoku/>
              <w:wordWrap/>
              <w:topLinePunct w:val="0"/>
              <w:autoSpaceDE/>
              <w:autoSpaceDN/>
              <w:bidi w:val="0"/>
              <w:adjustRightInd/>
              <w:snapToGrid/>
              <w:textAlignment w:val="auto"/>
              <w:rPr>
                <w:rFonts w:hint="default" w:ascii="Times New Roman" w:hAnsi="Times New Roman" w:cs="Times New Roman"/>
              </w:rPr>
            </w:pPr>
          </w:p>
        </w:tc>
        <w:tc>
          <w:tcPr>
            <w:tcW w:w="373" w:type="pct"/>
            <w:shd w:val="clear" w:color="auto" w:fill="auto"/>
            <w:noWrap w:val="0"/>
            <w:vAlign w:val="center"/>
          </w:tcPr>
          <w:p w14:paraId="30F2C2E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2015年</w:t>
            </w:r>
          </w:p>
        </w:tc>
        <w:tc>
          <w:tcPr>
            <w:tcW w:w="373" w:type="pct"/>
            <w:shd w:val="clear" w:color="auto" w:fill="auto"/>
            <w:noWrap w:val="0"/>
            <w:vAlign w:val="center"/>
          </w:tcPr>
          <w:p w14:paraId="7B9B0DA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2016年</w:t>
            </w:r>
          </w:p>
        </w:tc>
        <w:tc>
          <w:tcPr>
            <w:tcW w:w="373" w:type="pct"/>
            <w:shd w:val="clear" w:color="auto" w:fill="auto"/>
            <w:noWrap w:val="0"/>
            <w:vAlign w:val="center"/>
          </w:tcPr>
          <w:p w14:paraId="2CAE3DE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2017年</w:t>
            </w:r>
          </w:p>
        </w:tc>
        <w:tc>
          <w:tcPr>
            <w:tcW w:w="373" w:type="pct"/>
            <w:shd w:val="clear" w:color="auto" w:fill="auto"/>
            <w:noWrap w:val="0"/>
            <w:vAlign w:val="center"/>
          </w:tcPr>
          <w:p w14:paraId="51CA4C2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2018年</w:t>
            </w:r>
          </w:p>
        </w:tc>
        <w:tc>
          <w:tcPr>
            <w:tcW w:w="373" w:type="pct"/>
            <w:shd w:val="clear" w:color="auto" w:fill="auto"/>
            <w:noWrap w:val="0"/>
            <w:vAlign w:val="center"/>
          </w:tcPr>
          <w:p w14:paraId="7CE56C0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2019年</w:t>
            </w:r>
          </w:p>
        </w:tc>
        <w:tc>
          <w:tcPr>
            <w:tcW w:w="373" w:type="pct"/>
            <w:shd w:val="clear" w:color="auto" w:fill="auto"/>
            <w:noWrap w:val="0"/>
            <w:vAlign w:val="center"/>
          </w:tcPr>
          <w:p w14:paraId="6BD9611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2020年</w:t>
            </w:r>
          </w:p>
        </w:tc>
      </w:tr>
      <w:tr w14:paraId="4636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9" w:type="pct"/>
            <w:shd w:val="clear" w:color="auto" w:fill="auto"/>
            <w:noWrap w:val="0"/>
            <w:vAlign w:val="center"/>
          </w:tcPr>
          <w:p w14:paraId="2D7F26A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松花江</w:t>
            </w:r>
          </w:p>
        </w:tc>
        <w:tc>
          <w:tcPr>
            <w:tcW w:w="369" w:type="pct"/>
            <w:shd w:val="clear" w:color="auto" w:fill="auto"/>
            <w:noWrap w:val="0"/>
            <w:vAlign w:val="center"/>
          </w:tcPr>
          <w:p w14:paraId="70532CC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参乡一号桥</w:t>
            </w:r>
          </w:p>
        </w:tc>
        <w:tc>
          <w:tcPr>
            <w:tcW w:w="369" w:type="pct"/>
            <w:shd w:val="clear" w:color="auto" w:fill="auto"/>
            <w:noWrap w:val="0"/>
            <w:vAlign w:val="center"/>
          </w:tcPr>
          <w:p w14:paraId="088D566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参乡一号桥</w:t>
            </w:r>
          </w:p>
        </w:tc>
        <w:tc>
          <w:tcPr>
            <w:tcW w:w="370" w:type="pct"/>
            <w:shd w:val="clear" w:color="auto" w:fill="auto"/>
            <w:noWrap w:val="0"/>
            <w:vAlign w:val="center"/>
          </w:tcPr>
          <w:p w14:paraId="7AC5C72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头道松花江</w:t>
            </w:r>
          </w:p>
        </w:tc>
        <w:tc>
          <w:tcPr>
            <w:tcW w:w="370" w:type="pct"/>
            <w:shd w:val="clear" w:color="auto" w:fill="auto"/>
            <w:noWrap w:val="0"/>
            <w:vAlign w:val="center"/>
          </w:tcPr>
          <w:p w14:paraId="1D670C8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省控</w:t>
            </w:r>
          </w:p>
        </w:tc>
        <w:tc>
          <w:tcPr>
            <w:tcW w:w="455" w:type="pct"/>
            <w:shd w:val="clear" w:color="auto" w:fill="auto"/>
            <w:noWrap w:val="0"/>
            <w:vAlign w:val="center"/>
          </w:tcPr>
          <w:p w14:paraId="529D1F9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127°15′35″</w:t>
            </w:r>
          </w:p>
        </w:tc>
        <w:tc>
          <w:tcPr>
            <w:tcW w:w="455" w:type="pct"/>
            <w:shd w:val="clear" w:color="auto" w:fill="auto"/>
            <w:noWrap w:val="0"/>
            <w:vAlign w:val="center"/>
          </w:tcPr>
          <w:p w14:paraId="0A19A5F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41°17′10″</w:t>
            </w:r>
          </w:p>
        </w:tc>
        <w:tc>
          <w:tcPr>
            <w:tcW w:w="373" w:type="pct"/>
            <w:shd w:val="clear" w:color="auto" w:fill="auto"/>
            <w:noWrap w:val="0"/>
            <w:vAlign w:val="center"/>
          </w:tcPr>
          <w:p w14:paraId="2B10DD1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Ⅱ</w:t>
            </w:r>
          </w:p>
        </w:tc>
        <w:tc>
          <w:tcPr>
            <w:tcW w:w="373" w:type="pct"/>
            <w:shd w:val="clear" w:color="auto" w:fill="auto"/>
            <w:noWrap w:val="0"/>
            <w:vAlign w:val="center"/>
          </w:tcPr>
          <w:p w14:paraId="5CBD9A7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Ⅱ</w:t>
            </w:r>
          </w:p>
        </w:tc>
        <w:tc>
          <w:tcPr>
            <w:tcW w:w="373" w:type="pct"/>
            <w:shd w:val="clear" w:color="auto" w:fill="auto"/>
            <w:noWrap w:val="0"/>
            <w:vAlign w:val="center"/>
          </w:tcPr>
          <w:p w14:paraId="0D94143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Ⅱ</w:t>
            </w:r>
          </w:p>
        </w:tc>
        <w:tc>
          <w:tcPr>
            <w:tcW w:w="373" w:type="pct"/>
            <w:shd w:val="clear" w:color="auto" w:fill="auto"/>
            <w:noWrap w:val="0"/>
            <w:vAlign w:val="center"/>
          </w:tcPr>
          <w:p w14:paraId="7982776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Ⅱ</w:t>
            </w:r>
          </w:p>
        </w:tc>
        <w:tc>
          <w:tcPr>
            <w:tcW w:w="373" w:type="pct"/>
            <w:shd w:val="clear" w:color="auto" w:fill="auto"/>
            <w:noWrap w:val="0"/>
            <w:vAlign w:val="center"/>
          </w:tcPr>
          <w:p w14:paraId="36EE7E7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Ⅱ</w:t>
            </w:r>
          </w:p>
        </w:tc>
        <w:tc>
          <w:tcPr>
            <w:tcW w:w="373" w:type="pct"/>
            <w:shd w:val="clear" w:color="auto" w:fill="auto"/>
            <w:noWrap w:val="0"/>
            <w:vAlign w:val="center"/>
          </w:tcPr>
          <w:p w14:paraId="2E04E63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Ⅲ</w:t>
            </w:r>
          </w:p>
        </w:tc>
      </w:tr>
    </w:tbl>
    <w:p w14:paraId="31F67738">
      <w:pPr>
        <w:kinsoku/>
        <w:wordWrap/>
        <w:topLinePunct w:val="0"/>
        <w:autoSpaceDE/>
        <w:autoSpaceDN/>
        <w:bidi w:val="0"/>
        <w:adjustRightInd/>
        <w:snapToGrid/>
        <w:textAlignment w:val="auto"/>
        <w:rPr>
          <w:rFonts w:hint="default" w:ascii="Times New Roman" w:hAnsi="Times New Roman" w:cs="Times New Roman"/>
        </w:rPr>
        <w:sectPr>
          <w:pgSz w:w="16838" w:h="11906" w:orient="landscape"/>
          <w:pgMar w:top="1440" w:right="1800" w:bottom="1440" w:left="1800" w:header="851" w:footer="992" w:gutter="0"/>
          <w:pgNumType w:fmt="numberInDash"/>
          <w:cols w:space="0" w:num="1"/>
          <w:rtlGutter w:val="0"/>
          <w:docGrid w:type="lines" w:linePitch="332" w:charSpace="0"/>
        </w:sectPr>
      </w:pPr>
    </w:p>
    <w:p w14:paraId="6E0EA8E7">
      <w:pPr>
        <w:pStyle w:val="4"/>
        <w:kinsoku/>
        <w:wordWrap/>
        <w:topLinePunct w:val="0"/>
        <w:autoSpaceDE/>
        <w:autoSpaceDN/>
        <w:bidi w:val="0"/>
        <w:adjustRightInd/>
        <w:snapToGrid/>
        <w:textAlignment w:val="auto"/>
        <w:rPr>
          <w:rFonts w:hint="default" w:ascii="Times New Roman" w:hAnsi="Times New Roman" w:cs="Times New Roman"/>
        </w:rPr>
      </w:pPr>
      <w:bookmarkStart w:id="23" w:name="_Toc82172404"/>
      <w:bookmarkStart w:id="24" w:name="_Toc26930"/>
      <w:r>
        <w:rPr>
          <w:rFonts w:hint="default" w:ascii="Times New Roman" w:hAnsi="Times New Roman" w:cs="Times New Roman"/>
        </w:rPr>
        <w:t>饮用水水源</w:t>
      </w:r>
      <w:bookmarkEnd w:id="23"/>
      <w:bookmarkEnd w:id="24"/>
    </w:p>
    <w:p w14:paraId="7A9E27AC">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近4年来，江源区饮用水源地水质优良率均为100%。2017年至2020年水源地各项指标均满足国家饮用水源地Ⅲ类水体标准的要求，水质优良率为100%。</w:t>
      </w:r>
    </w:p>
    <w:p w14:paraId="3A5C29AD">
      <w:pPr>
        <w:pStyle w:val="16"/>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1-8</w:t>
      </w:r>
      <w:r>
        <w:rPr>
          <w:rFonts w:hint="default" w:ascii="Times New Roman" w:hAnsi="Times New Roman" w:cs="Times New Roman"/>
        </w:rPr>
        <w:t>江源区2017-2020年饮用水源基本情况</w:t>
      </w:r>
    </w:p>
    <w:tbl>
      <w:tblPr>
        <w:tblStyle w:val="1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914"/>
        <w:gridCol w:w="1079"/>
        <w:gridCol w:w="1050"/>
        <w:gridCol w:w="1771"/>
        <w:gridCol w:w="859"/>
        <w:gridCol w:w="1057"/>
        <w:gridCol w:w="1052"/>
      </w:tblGrid>
      <w:tr w14:paraId="2AC41E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34" w:type="pct"/>
            <w:vMerge w:val="restart"/>
            <w:noWrap w:val="0"/>
            <w:vAlign w:val="center"/>
          </w:tcPr>
          <w:p w14:paraId="3AD77A6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序号</w:t>
            </w:r>
          </w:p>
        </w:tc>
        <w:tc>
          <w:tcPr>
            <w:tcW w:w="536" w:type="pct"/>
            <w:vMerge w:val="restart"/>
            <w:noWrap w:val="0"/>
            <w:vAlign w:val="center"/>
          </w:tcPr>
          <w:p w14:paraId="567A9EA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区县</w:t>
            </w:r>
          </w:p>
        </w:tc>
        <w:tc>
          <w:tcPr>
            <w:tcW w:w="633" w:type="pct"/>
            <w:vMerge w:val="restart"/>
            <w:noWrap w:val="0"/>
            <w:vAlign w:val="center"/>
          </w:tcPr>
          <w:p w14:paraId="65C57AF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所属</w:t>
            </w:r>
          </w:p>
          <w:p w14:paraId="07A1F98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流域</w:t>
            </w:r>
          </w:p>
        </w:tc>
        <w:tc>
          <w:tcPr>
            <w:tcW w:w="616" w:type="pct"/>
            <w:vMerge w:val="restart"/>
            <w:noWrap w:val="0"/>
            <w:vAlign w:val="center"/>
          </w:tcPr>
          <w:p w14:paraId="16A6DB1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所在</w:t>
            </w:r>
          </w:p>
          <w:p w14:paraId="172AAB7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水体</w:t>
            </w:r>
          </w:p>
        </w:tc>
        <w:tc>
          <w:tcPr>
            <w:tcW w:w="1039" w:type="pct"/>
            <w:vMerge w:val="restart"/>
            <w:noWrap w:val="0"/>
            <w:vAlign w:val="center"/>
          </w:tcPr>
          <w:p w14:paraId="4FB534B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水源地名称</w:t>
            </w:r>
          </w:p>
        </w:tc>
        <w:tc>
          <w:tcPr>
            <w:tcW w:w="504" w:type="pct"/>
            <w:vMerge w:val="restart"/>
            <w:noWrap w:val="0"/>
            <w:vAlign w:val="center"/>
          </w:tcPr>
          <w:p w14:paraId="2462DA1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水源地类型</w:t>
            </w:r>
          </w:p>
        </w:tc>
        <w:tc>
          <w:tcPr>
            <w:tcW w:w="620" w:type="pct"/>
            <w:vMerge w:val="restart"/>
            <w:noWrap w:val="0"/>
            <w:vAlign w:val="center"/>
          </w:tcPr>
          <w:p w14:paraId="187EA3B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2020年水质现状</w:t>
            </w:r>
          </w:p>
        </w:tc>
        <w:tc>
          <w:tcPr>
            <w:tcW w:w="617" w:type="pct"/>
            <w:vMerge w:val="restart"/>
            <w:noWrap w:val="0"/>
            <w:vAlign w:val="center"/>
          </w:tcPr>
          <w:p w14:paraId="1E4C8F8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2025年水质目标</w:t>
            </w:r>
          </w:p>
        </w:tc>
      </w:tr>
      <w:tr w14:paraId="0E2C6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34" w:type="pct"/>
            <w:vMerge w:val="continue"/>
            <w:noWrap w:val="0"/>
            <w:vAlign w:val="center"/>
          </w:tcPr>
          <w:p w14:paraId="4FDFF47F">
            <w:pPr>
              <w:pStyle w:val="17"/>
              <w:kinsoku/>
              <w:wordWrap/>
              <w:topLinePunct w:val="0"/>
              <w:autoSpaceDE/>
              <w:autoSpaceDN/>
              <w:bidi w:val="0"/>
              <w:adjustRightInd/>
              <w:snapToGrid/>
              <w:textAlignment w:val="auto"/>
              <w:rPr>
                <w:rFonts w:hint="default" w:ascii="Times New Roman" w:hAnsi="Times New Roman" w:cs="Times New Roman"/>
              </w:rPr>
            </w:pPr>
          </w:p>
        </w:tc>
        <w:tc>
          <w:tcPr>
            <w:tcW w:w="536" w:type="pct"/>
            <w:vMerge w:val="continue"/>
            <w:noWrap w:val="0"/>
            <w:vAlign w:val="center"/>
          </w:tcPr>
          <w:p w14:paraId="3ED8BE8D">
            <w:pPr>
              <w:pStyle w:val="17"/>
              <w:kinsoku/>
              <w:wordWrap/>
              <w:topLinePunct w:val="0"/>
              <w:autoSpaceDE/>
              <w:autoSpaceDN/>
              <w:bidi w:val="0"/>
              <w:adjustRightInd/>
              <w:snapToGrid/>
              <w:textAlignment w:val="auto"/>
              <w:rPr>
                <w:rFonts w:hint="default" w:ascii="Times New Roman" w:hAnsi="Times New Roman" w:cs="Times New Roman"/>
              </w:rPr>
            </w:pPr>
          </w:p>
        </w:tc>
        <w:tc>
          <w:tcPr>
            <w:tcW w:w="633" w:type="pct"/>
            <w:vMerge w:val="continue"/>
            <w:noWrap w:val="0"/>
            <w:vAlign w:val="center"/>
          </w:tcPr>
          <w:p w14:paraId="755B52C7">
            <w:pPr>
              <w:pStyle w:val="17"/>
              <w:kinsoku/>
              <w:wordWrap/>
              <w:topLinePunct w:val="0"/>
              <w:autoSpaceDE/>
              <w:autoSpaceDN/>
              <w:bidi w:val="0"/>
              <w:adjustRightInd/>
              <w:snapToGrid/>
              <w:textAlignment w:val="auto"/>
              <w:rPr>
                <w:rFonts w:hint="default" w:ascii="Times New Roman" w:hAnsi="Times New Roman" w:cs="Times New Roman"/>
              </w:rPr>
            </w:pPr>
          </w:p>
        </w:tc>
        <w:tc>
          <w:tcPr>
            <w:tcW w:w="616" w:type="pct"/>
            <w:vMerge w:val="continue"/>
            <w:noWrap w:val="0"/>
            <w:vAlign w:val="center"/>
          </w:tcPr>
          <w:p w14:paraId="73EC9FC2">
            <w:pPr>
              <w:pStyle w:val="17"/>
              <w:kinsoku/>
              <w:wordWrap/>
              <w:topLinePunct w:val="0"/>
              <w:autoSpaceDE/>
              <w:autoSpaceDN/>
              <w:bidi w:val="0"/>
              <w:adjustRightInd/>
              <w:snapToGrid/>
              <w:textAlignment w:val="auto"/>
              <w:rPr>
                <w:rFonts w:hint="default" w:ascii="Times New Roman" w:hAnsi="Times New Roman" w:cs="Times New Roman"/>
              </w:rPr>
            </w:pPr>
          </w:p>
        </w:tc>
        <w:tc>
          <w:tcPr>
            <w:tcW w:w="1039" w:type="pct"/>
            <w:vMerge w:val="continue"/>
            <w:noWrap w:val="0"/>
            <w:vAlign w:val="center"/>
          </w:tcPr>
          <w:p w14:paraId="7803378B">
            <w:pPr>
              <w:pStyle w:val="17"/>
              <w:kinsoku/>
              <w:wordWrap/>
              <w:topLinePunct w:val="0"/>
              <w:autoSpaceDE/>
              <w:autoSpaceDN/>
              <w:bidi w:val="0"/>
              <w:adjustRightInd/>
              <w:snapToGrid/>
              <w:textAlignment w:val="auto"/>
              <w:rPr>
                <w:rFonts w:hint="default" w:ascii="Times New Roman" w:hAnsi="Times New Roman" w:cs="Times New Roman"/>
              </w:rPr>
            </w:pPr>
          </w:p>
        </w:tc>
        <w:tc>
          <w:tcPr>
            <w:tcW w:w="504" w:type="pct"/>
            <w:vMerge w:val="continue"/>
            <w:noWrap w:val="0"/>
            <w:vAlign w:val="center"/>
          </w:tcPr>
          <w:p w14:paraId="4764ABEC">
            <w:pPr>
              <w:pStyle w:val="17"/>
              <w:kinsoku/>
              <w:wordWrap/>
              <w:topLinePunct w:val="0"/>
              <w:autoSpaceDE/>
              <w:autoSpaceDN/>
              <w:bidi w:val="0"/>
              <w:adjustRightInd/>
              <w:snapToGrid/>
              <w:textAlignment w:val="auto"/>
              <w:rPr>
                <w:rFonts w:hint="default" w:ascii="Times New Roman" w:hAnsi="Times New Roman" w:cs="Times New Roman"/>
              </w:rPr>
            </w:pPr>
          </w:p>
        </w:tc>
        <w:tc>
          <w:tcPr>
            <w:tcW w:w="620" w:type="pct"/>
            <w:vMerge w:val="continue"/>
            <w:noWrap w:val="0"/>
            <w:vAlign w:val="center"/>
          </w:tcPr>
          <w:p w14:paraId="12A5253A">
            <w:pPr>
              <w:pStyle w:val="17"/>
              <w:kinsoku/>
              <w:wordWrap/>
              <w:topLinePunct w:val="0"/>
              <w:autoSpaceDE/>
              <w:autoSpaceDN/>
              <w:bidi w:val="0"/>
              <w:adjustRightInd/>
              <w:snapToGrid/>
              <w:textAlignment w:val="auto"/>
              <w:rPr>
                <w:rFonts w:hint="default" w:ascii="Times New Roman" w:hAnsi="Times New Roman" w:cs="Times New Roman"/>
              </w:rPr>
            </w:pPr>
          </w:p>
        </w:tc>
        <w:tc>
          <w:tcPr>
            <w:tcW w:w="617" w:type="pct"/>
            <w:vMerge w:val="continue"/>
            <w:noWrap w:val="0"/>
            <w:vAlign w:val="center"/>
          </w:tcPr>
          <w:p w14:paraId="2DEAF94E">
            <w:pPr>
              <w:pStyle w:val="17"/>
              <w:kinsoku/>
              <w:wordWrap/>
              <w:topLinePunct w:val="0"/>
              <w:autoSpaceDE/>
              <w:autoSpaceDN/>
              <w:bidi w:val="0"/>
              <w:adjustRightInd/>
              <w:snapToGrid/>
              <w:textAlignment w:val="auto"/>
              <w:rPr>
                <w:rFonts w:hint="default" w:ascii="Times New Roman" w:hAnsi="Times New Roman" w:cs="Times New Roman"/>
              </w:rPr>
            </w:pPr>
          </w:p>
        </w:tc>
      </w:tr>
      <w:tr w14:paraId="75A6B1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434" w:type="pct"/>
            <w:noWrap w:val="0"/>
            <w:vAlign w:val="center"/>
          </w:tcPr>
          <w:p w14:paraId="02D455D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w:t>
            </w:r>
          </w:p>
        </w:tc>
        <w:tc>
          <w:tcPr>
            <w:tcW w:w="536" w:type="pct"/>
            <w:noWrap w:val="0"/>
            <w:vAlign w:val="center"/>
          </w:tcPr>
          <w:p w14:paraId="27E0C20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江源区</w:t>
            </w:r>
          </w:p>
        </w:tc>
        <w:tc>
          <w:tcPr>
            <w:tcW w:w="633" w:type="pct"/>
            <w:noWrap w:val="0"/>
            <w:vAlign w:val="center"/>
          </w:tcPr>
          <w:p w14:paraId="2105BDA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浑江</w:t>
            </w:r>
          </w:p>
        </w:tc>
        <w:tc>
          <w:tcPr>
            <w:tcW w:w="616" w:type="pct"/>
            <w:noWrap w:val="0"/>
            <w:vAlign w:val="center"/>
          </w:tcPr>
          <w:p w14:paraId="7106F23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大阳岔</w:t>
            </w:r>
          </w:p>
        </w:tc>
        <w:tc>
          <w:tcPr>
            <w:tcW w:w="1039" w:type="pct"/>
            <w:noWrap w:val="0"/>
            <w:vAlign w:val="center"/>
          </w:tcPr>
          <w:p w14:paraId="3C4ECAC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大阳岔饮用水源</w:t>
            </w:r>
          </w:p>
        </w:tc>
        <w:tc>
          <w:tcPr>
            <w:tcW w:w="504" w:type="pct"/>
            <w:noWrap w:val="0"/>
            <w:vAlign w:val="center"/>
          </w:tcPr>
          <w:p w14:paraId="1E46FE0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河流</w:t>
            </w:r>
          </w:p>
        </w:tc>
        <w:tc>
          <w:tcPr>
            <w:tcW w:w="620" w:type="pct"/>
            <w:noWrap w:val="0"/>
            <w:vAlign w:val="center"/>
          </w:tcPr>
          <w:p w14:paraId="276ADA9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Ⅲ</w:t>
            </w:r>
          </w:p>
        </w:tc>
        <w:tc>
          <w:tcPr>
            <w:tcW w:w="617" w:type="pct"/>
            <w:noWrap w:val="0"/>
            <w:vAlign w:val="center"/>
          </w:tcPr>
          <w:p w14:paraId="78311B5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Ⅲ</w:t>
            </w:r>
          </w:p>
        </w:tc>
      </w:tr>
    </w:tbl>
    <w:p w14:paraId="166CFA47">
      <w:pPr>
        <w:kinsoku/>
        <w:wordWrap/>
        <w:topLinePunct w:val="0"/>
        <w:autoSpaceDE/>
        <w:autoSpaceDN/>
        <w:bidi w:val="0"/>
        <w:adjustRightInd/>
        <w:snapToGrid/>
        <w:textAlignment w:val="auto"/>
        <w:rPr>
          <w:rFonts w:hint="default" w:ascii="Times New Roman" w:hAnsi="Times New Roman" w:cs="Times New Roman"/>
        </w:rPr>
      </w:pPr>
      <w:bookmarkStart w:id="25" w:name="_Toc82172405"/>
    </w:p>
    <w:p w14:paraId="334B0C3E">
      <w:pPr>
        <w:kinsoku/>
        <w:wordWrap/>
        <w:topLinePunct w:val="0"/>
        <w:autoSpaceDE/>
        <w:autoSpaceDN/>
        <w:bidi w:val="0"/>
        <w:adjustRightInd/>
        <w:snapToGrid/>
        <w:textAlignment w:val="auto"/>
        <w:rPr>
          <w:rFonts w:hint="default" w:ascii="Times New Roman" w:hAnsi="Times New Roman" w:cs="Times New Roman"/>
          <w:lang w:val="en-US" w:eastAsia="zh-CN"/>
        </w:rPr>
      </w:pPr>
      <w:r>
        <w:rPr>
          <w:rFonts w:hint="default" w:ascii="Times New Roman" w:hAnsi="Times New Roman" w:cs="Times New Roman"/>
        </w:rPr>
        <w:t>江源区各水源工程水源水质情况详见表</w:t>
      </w:r>
      <w:r>
        <w:rPr>
          <w:rFonts w:hint="eastAsia" w:cs="Times New Roman"/>
          <w:lang w:val="en-US" w:eastAsia="zh-CN"/>
        </w:rPr>
        <w:t>1-9</w:t>
      </w:r>
      <w:r>
        <w:rPr>
          <w:rFonts w:hint="default" w:ascii="Times New Roman" w:hAnsi="Times New Roman" w:cs="Times New Roman"/>
          <w:lang w:val="en-US" w:eastAsia="zh-CN"/>
        </w:rPr>
        <w:t>。</w:t>
      </w:r>
    </w:p>
    <w:p w14:paraId="50F2BEFD">
      <w:pPr>
        <w:pStyle w:val="16"/>
        <w:kinsoku/>
        <w:wordWrap/>
        <w:topLinePunct w:val="0"/>
        <w:autoSpaceDE/>
        <w:autoSpaceDN/>
        <w:bidi w:val="0"/>
        <w:adjustRightInd/>
        <w:snapToGrid/>
        <w:textAlignment w:val="auto"/>
        <w:rPr>
          <w:rFonts w:hint="default" w:ascii="Times New Roman" w:hAnsi="Times New Roman" w:cs="Times New Roman"/>
        </w:rPr>
        <w:sectPr>
          <w:pgSz w:w="11906" w:h="16838"/>
          <w:pgMar w:top="1440" w:right="1800" w:bottom="1440" w:left="1800" w:header="851" w:footer="992" w:gutter="0"/>
          <w:pgNumType w:fmt="numberInDash"/>
          <w:cols w:space="0" w:num="1"/>
          <w:rtlGutter w:val="0"/>
          <w:docGrid w:type="lines" w:linePitch="332" w:charSpace="0"/>
        </w:sectPr>
      </w:pPr>
    </w:p>
    <w:p w14:paraId="595DA202">
      <w:pPr>
        <w:pStyle w:val="16"/>
        <w:kinsoku/>
        <w:wordWrap/>
        <w:topLinePunct w:val="0"/>
        <w:autoSpaceDE/>
        <w:autoSpaceDN/>
        <w:bidi w:val="0"/>
        <w:adjustRightInd/>
        <w:snapToGrid/>
        <w:textAlignment w:val="auto"/>
        <w:rPr>
          <w:rFonts w:hint="default" w:ascii="Times New Roman" w:hAnsi="Times New Roman" w:cs="Times New Roman"/>
          <w:lang w:val="en-US" w:eastAsia="zh-CN"/>
        </w:rPr>
      </w:pPr>
      <w:r>
        <w:rPr>
          <w:rFonts w:hint="default" w:ascii="Times New Roman" w:hAnsi="Times New Roman" w:cs="Times New Roman"/>
        </w:rPr>
        <w:t>表</w:t>
      </w:r>
      <w:r>
        <w:rPr>
          <w:rFonts w:hint="eastAsia" w:cs="Times New Roman"/>
          <w:lang w:val="en-US" w:eastAsia="zh-CN"/>
        </w:rPr>
        <w:t>1-9</w:t>
      </w:r>
      <w:r>
        <w:rPr>
          <w:rFonts w:hint="default" w:ascii="Times New Roman" w:hAnsi="Times New Roman" w:cs="Times New Roman"/>
        </w:rPr>
        <w:t>江源区各水源工程水质情况一览表</w:t>
      </w:r>
    </w:p>
    <w:tbl>
      <w:tblPr>
        <w:tblStyle w:val="1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933"/>
        <w:gridCol w:w="1699"/>
        <w:gridCol w:w="1574"/>
        <w:gridCol w:w="1217"/>
        <w:gridCol w:w="8065"/>
      </w:tblGrid>
      <w:tr w14:paraId="6A4019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242" w:type="pct"/>
            <w:vMerge w:val="restart"/>
            <w:noWrap w:val="0"/>
            <w:vAlign w:val="center"/>
          </w:tcPr>
          <w:p w14:paraId="324E6ED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序号</w:t>
            </w:r>
          </w:p>
        </w:tc>
        <w:tc>
          <w:tcPr>
            <w:tcW w:w="928" w:type="pct"/>
            <w:gridSpan w:val="2"/>
            <w:vMerge w:val="restart"/>
            <w:noWrap w:val="0"/>
            <w:vAlign w:val="center"/>
          </w:tcPr>
          <w:p w14:paraId="325D0084">
            <w:pPr>
              <w:pStyle w:val="17"/>
              <w:bidi w:val="0"/>
              <w:rPr>
                <w:rFonts w:hint="default"/>
              </w:rPr>
            </w:pPr>
            <w:r>
              <w:rPr>
                <w:rFonts w:hint="default"/>
              </w:rPr>
              <w:t>名称</w:t>
            </w:r>
          </w:p>
        </w:tc>
        <w:tc>
          <w:tcPr>
            <w:tcW w:w="555" w:type="pct"/>
            <w:vMerge w:val="restart"/>
            <w:noWrap w:val="0"/>
            <w:vAlign w:val="center"/>
          </w:tcPr>
          <w:p w14:paraId="0E4441B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水源类型</w:t>
            </w:r>
          </w:p>
        </w:tc>
        <w:tc>
          <w:tcPr>
            <w:tcW w:w="429" w:type="pct"/>
            <w:vMerge w:val="restart"/>
            <w:noWrap w:val="0"/>
            <w:vAlign w:val="center"/>
          </w:tcPr>
          <w:p w14:paraId="75F8050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使用状态</w:t>
            </w:r>
          </w:p>
        </w:tc>
        <w:tc>
          <w:tcPr>
            <w:tcW w:w="2843" w:type="pct"/>
            <w:vMerge w:val="restart"/>
            <w:noWrap w:val="0"/>
            <w:vAlign w:val="center"/>
          </w:tcPr>
          <w:p w14:paraId="3AA6AE7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水质情况</w:t>
            </w:r>
          </w:p>
        </w:tc>
      </w:tr>
      <w:tr w14:paraId="606E9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242" w:type="pct"/>
            <w:vMerge w:val="continue"/>
            <w:noWrap w:val="0"/>
            <w:vAlign w:val="center"/>
          </w:tcPr>
          <w:p w14:paraId="610147AE">
            <w:pPr>
              <w:pStyle w:val="17"/>
              <w:kinsoku/>
              <w:wordWrap/>
              <w:topLinePunct w:val="0"/>
              <w:autoSpaceDE/>
              <w:autoSpaceDN/>
              <w:bidi w:val="0"/>
              <w:adjustRightInd/>
              <w:snapToGrid/>
              <w:textAlignment w:val="auto"/>
              <w:rPr>
                <w:rFonts w:hint="default" w:ascii="Times New Roman" w:hAnsi="Times New Roman" w:cs="Times New Roman"/>
              </w:rPr>
            </w:pPr>
          </w:p>
        </w:tc>
        <w:tc>
          <w:tcPr>
            <w:tcW w:w="928" w:type="pct"/>
            <w:gridSpan w:val="2"/>
            <w:vMerge w:val="continue"/>
            <w:noWrap w:val="0"/>
            <w:vAlign w:val="center"/>
          </w:tcPr>
          <w:p w14:paraId="683D922A">
            <w:pPr>
              <w:pStyle w:val="17"/>
              <w:kinsoku/>
              <w:wordWrap/>
              <w:topLinePunct w:val="0"/>
              <w:autoSpaceDE/>
              <w:autoSpaceDN/>
              <w:bidi w:val="0"/>
              <w:adjustRightInd/>
              <w:snapToGrid/>
              <w:textAlignment w:val="auto"/>
              <w:rPr>
                <w:rFonts w:hint="default" w:ascii="Times New Roman" w:hAnsi="Times New Roman" w:cs="Times New Roman"/>
              </w:rPr>
            </w:pPr>
          </w:p>
        </w:tc>
        <w:tc>
          <w:tcPr>
            <w:tcW w:w="555" w:type="pct"/>
            <w:vMerge w:val="continue"/>
            <w:noWrap w:val="0"/>
            <w:vAlign w:val="center"/>
          </w:tcPr>
          <w:p w14:paraId="7E70A7B3">
            <w:pPr>
              <w:pStyle w:val="17"/>
              <w:kinsoku/>
              <w:wordWrap/>
              <w:topLinePunct w:val="0"/>
              <w:autoSpaceDE/>
              <w:autoSpaceDN/>
              <w:bidi w:val="0"/>
              <w:adjustRightInd/>
              <w:snapToGrid/>
              <w:textAlignment w:val="auto"/>
              <w:rPr>
                <w:rFonts w:hint="default" w:ascii="Times New Roman" w:hAnsi="Times New Roman" w:cs="Times New Roman"/>
              </w:rPr>
            </w:pPr>
          </w:p>
        </w:tc>
        <w:tc>
          <w:tcPr>
            <w:tcW w:w="429" w:type="pct"/>
            <w:vMerge w:val="continue"/>
            <w:noWrap w:val="0"/>
            <w:vAlign w:val="center"/>
          </w:tcPr>
          <w:p w14:paraId="360A3F7C">
            <w:pPr>
              <w:pStyle w:val="17"/>
              <w:kinsoku/>
              <w:wordWrap/>
              <w:topLinePunct w:val="0"/>
              <w:autoSpaceDE/>
              <w:autoSpaceDN/>
              <w:bidi w:val="0"/>
              <w:adjustRightInd/>
              <w:snapToGrid/>
              <w:textAlignment w:val="auto"/>
              <w:rPr>
                <w:rFonts w:hint="default" w:ascii="Times New Roman" w:hAnsi="Times New Roman" w:cs="Times New Roman"/>
              </w:rPr>
            </w:pPr>
          </w:p>
        </w:tc>
        <w:tc>
          <w:tcPr>
            <w:tcW w:w="2843" w:type="pct"/>
            <w:vMerge w:val="continue"/>
            <w:noWrap w:val="0"/>
            <w:vAlign w:val="center"/>
          </w:tcPr>
          <w:p w14:paraId="464CEE9F">
            <w:pPr>
              <w:pStyle w:val="17"/>
              <w:kinsoku/>
              <w:wordWrap/>
              <w:topLinePunct w:val="0"/>
              <w:autoSpaceDE/>
              <w:autoSpaceDN/>
              <w:bidi w:val="0"/>
              <w:adjustRightInd/>
              <w:snapToGrid/>
              <w:textAlignment w:val="auto"/>
              <w:rPr>
                <w:rFonts w:hint="default" w:ascii="Times New Roman" w:hAnsi="Times New Roman" w:cs="Times New Roman"/>
              </w:rPr>
            </w:pPr>
          </w:p>
        </w:tc>
      </w:tr>
      <w:tr w14:paraId="6A9C89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42" w:type="pct"/>
            <w:noWrap w:val="0"/>
            <w:vAlign w:val="center"/>
          </w:tcPr>
          <w:p w14:paraId="3FD07F7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w:t>
            </w:r>
          </w:p>
        </w:tc>
        <w:tc>
          <w:tcPr>
            <w:tcW w:w="329" w:type="pct"/>
            <w:vMerge w:val="restart"/>
            <w:noWrap w:val="0"/>
            <w:vAlign w:val="center"/>
          </w:tcPr>
          <w:p w14:paraId="17850FD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松树镇</w:t>
            </w:r>
          </w:p>
        </w:tc>
        <w:tc>
          <w:tcPr>
            <w:tcW w:w="599" w:type="pct"/>
            <w:noWrap w:val="0"/>
            <w:vAlign w:val="center"/>
          </w:tcPr>
          <w:p w14:paraId="0E653B4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窑地水源</w:t>
            </w:r>
          </w:p>
        </w:tc>
        <w:tc>
          <w:tcPr>
            <w:tcW w:w="555" w:type="pct"/>
            <w:noWrap w:val="0"/>
            <w:vAlign w:val="center"/>
          </w:tcPr>
          <w:p w14:paraId="2764D20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深水井型</w:t>
            </w:r>
          </w:p>
        </w:tc>
        <w:tc>
          <w:tcPr>
            <w:tcW w:w="429" w:type="pct"/>
            <w:noWrap w:val="0"/>
            <w:vAlign w:val="center"/>
          </w:tcPr>
          <w:p w14:paraId="752D45A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正常</w:t>
            </w:r>
          </w:p>
        </w:tc>
        <w:tc>
          <w:tcPr>
            <w:tcW w:w="2843" w:type="pct"/>
            <w:noWrap w:val="0"/>
            <w:vAlign w:val="center"/>
          </w:tcPr>
          <w:p w14:paraId="5BDB769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窑地水源工程水质较差，各监测因子除氨氮为Ⅳ类、汞为Ⅱ类水质标准外，其他各因子均能达到Ⅰ类水质标准，其中总大肠、菌群菌群总数及耐热大肠菌群不满足《生活饮用水卫生标准》，大肠埃希氏菌能够满足《生活饮用水卫生标准》。</w:t>
            </w:r>
          </w:p>
        </w:tc>
      </w:tr>
      <w:tr w14:paraId="4EE25C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42" w:type="pct"/>
            <w:noWrap w:val="0"/>
            <w:vAlign w:val="center"/>
          </w:tcPr>
          <w:p w14:paraId="6A8920F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w:t>
            </w:r>
          </w:p>
        </w:tc>
        <w:tc>
          <w:tcPr>
            <w:tcW w:w="329" w:type="pct"/>
            <w:vMerge w:val="continue"/>
            <w:noWrap w:val="0"/>
            <w:vAlign w:val="center"/>
          </w:tcPr>
          <w:p w14:paraId="0DAF70C6">
            <w:pPr>
              <w:pStyle w:val="17"/>
              <w:kinsoku/>
              <w:wordWrap/>
              <w:topLinePunct w:val="0"/>
              <w:autoSpaceDE/>
              <w:autoSpaceDN/>
              <w:bidi w:val="0"/>
              <w:adjustRightInd/>
              <w:snapToGrid/>
              <w:textAlignment w:val="auto"/>
              <w:rPr>
                <w:rFonts w:hint="default" w:ascii="Times New Roman" w:hAnsi="Times New Roman" w:cs="Times New Roman"/>
              </w:rPr>
            </w:pPr>
          </w:p>
        </w:tc>
        <w:tc>
          <w:tcPr>
            <w:tcW w:w="599" w:type="pct"/>
            <w:noWrap w:val="0"/>
            <w:vAlign w:val="center"/>
          </w:tcPr>
          <w:p w14:paraId="56EF659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西川水库水源</w:t>
            </w:r>
          </w:p>
        </w:tc>
        <w:tc>
          <w:tcPr>
            <w:tcW w:w="555" w:type="pct"/>
            <w:noWrap w:val="0"/>
            <w:vAlign w:val="center"/>
          </w:tcPr>
          <w:p w14:paraId="67EC0AD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水库取水型</w:t>
            </w:r>
          </w:p>
        </w:tc>
        <w:tc>
          <w:tcPr>
            <w:tcW w:w="429" w:type="pct"/>
            <w:noWrap w:val="0"/>
            <w:vAlign w:val="center"/>
          </w:tcPr>
          <w:p w14:paraId="067E413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正常</w:t>
            </w:r>
          </w:p>
        </w:tc>
        <w:tc>
          <w:tcPr>
            <w:tcW w:w="2843" w:type="pct"/>
            <w:noWrap w:val="0"/>
            <w:vAlign w:val="center"/>
          </w:tcPr>
          <w:p w14:paraId="5761FD7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菌落群数不能满足《生活饮用水卫生标准》，其他各项监测因子均能够满足《地表水环境质量标准》、《生活饮用水卫生标准》</w:t>
            </w:r>
          </w:p>
        </w:tc>
      </w:tr>
      <w:tr w14:paraId="1D093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42" w:type="pct"/>
            <w:noWrap w:val="0"/>
            <w:vAlign w:val="center"/>
          </w:tcPr>
          <w:p w14:paraId="7369826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3</w:t>
            </w:r>
          </w:p>
        </w:tc>
        <w:tc>
          <w:tcPr>
            <w:tcW w:w="329" w:type="pct"/>
            <w:vMerge w:val="continue"/>
            <w:noWrap w:val="0"/>
            <w:vAlign w:val="center"/>
          </w:tcPr>
          <w:p w14:paraId="1DFF7C82">
            <w:pPr>
              <w:pStyle w:val="17"/>
              <w:kinsoku/>
              <w:wordWrap/>
              <w:topLinePunct w:val="0"/>
              <w:autoSpaceDE/>
              <w:autoSpaceDN/>
              <w:bidi w:val="0"/>
              <w:adjustRightInd/>
              <w:snapToGrid/>
              <w:textAlignment w:val="auto"/>
              <w:rPr>
                <w:rFonts w:hint="default" w:ascii="Times New Roman" w:hAnsi="Times New Roman" w:cs="Times New Roman"/>
              </w:rPr>
            </w:pPr>
          </w:p>
        </w:tc>
        <w:tc>
          <w:tcPr>
            <w:tcW w:w="599" w:type="pct"/>
            <w:noWrap w:val="0"/>
            <w:vAlign w:val="center"/>
          </w:tcPr>
          <w:p w14:paraId="268DB41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青山村水源</w:t>
            </w:r>
          </w:p>
        </w:tc>
        <w:tc>
          <w:tcPr>
            <w:tcW w:w="555" w:type="pct"/>
            <w:noWrap w:val="0"/>
            <w:vAlign w:val="center"/>
          </w:tcPr>
          <w:p w14:paraId="4E3E314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引泉型</w:t>
            </w:r>
          </w:p>
        </w:tc>
        <w:tc>
          <w:tcPr>
            <w:tcW w:w="429" w:type="pct"/>
            <w:noWrap w:val="0"/>
            <w:vAlign w:val="center"/>
          </w:tcPr>
          <w:p w14:paraId="4865BE9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正常</w:t>
            </w:r>
          </w:p>
        </w:tc>
        <w:tc>
          <w:tcPr>
            <w:tcW w:w="2843" w:type="pct"/>
            <w:noWrap w:val="0"/>
            <w:vAlign w:val="center"/>
          </w:tcPr>
          <w:p w14:paraId="29D9896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各项监测因子均能够满足《地表水环境质量标准》、《生活饮用水卫生标准》</w:t>
            </w:r>
          </w:p>
        </w:tc>
      </w:tr>
      <w:tr w14:paraId="723E0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42" w:type="pct"/>
            <w:noWrap w:val="0"/>
            <w:vAlign w:val="center"/>
          </w:tcPr>
          <w:p w14:paraId="669AA55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4</w:t>
            </w:r>
          </w:p>
        </w:tc>
        <w:tc>
          <w:tcPr>
            <w:tcW w:w="329" w:type="pct"/>
            <w:vMerge w:val="continue"/>
            <w:noWrap w:val="0"/>
            <w:vAlign w:val="center"/>
          </w:tcPr>
          <w:p w14:paraId="1D8C1F14">
            <w:pPr>
              <w:pStyle w:val="17"/>
              <w:kinsoku/>
              <w:wordWrap/>
              <w:topLinePunct w:val="0"/>
              <w:autoSpaceDE/>
              <w:autoSpaceDN/>
              <w:bidi w:val="0"/>
              <w:adjustRightInd/>
              <w:snapToGrid/>
              <w:textAlignment w:val="auto"/>
              <w:rPr>
                <w:rFonts w:hint="default" w:ascii="Times New Roman" w:hAnsi="Times New Roman" w:cs="Times New Roman"/>
              </w:rPr>
            </w:pPr>
          </w:p>
        </w:tc>
        <w:tc>
          <w:tcPr>
            <w:tcW w:w="599" w:type="pct"/>
            <w:noWrap w:val="0"/>
            <w:vAlign w:val="center"/>
          </w:tcPr>
          <w:p w14:paraId="257E330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松树矿水源</w:t>
            </w:r>
          </w:p>
        </w:tc>
        <w:tc>
          <w:tcPr>
            <w:tcW w:w="555" w:type="pct"/>
            <w:noWrap w:val="0"/>
            <w:vAlign w:val="center"/>
          </w:tcPr>
          <w:p w14:paraId="5F48500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引泉型</w:t>
            </w:r>
          </w:p>
        </w:tc>
        <w:tc>
          <w:tcPr>
            <w:tcW w:w="429" w:type="pct"/>
            <w:noWrap w:val="0"/>
            <w:vAlign w:val="center"/>
          </w:tcPr>
          <w:p w14:paraId="771E222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正常</w:t>
            </w:r>
          </w:p>
        </w:tc>
        <w:tc>
          <w:tcPr>
            <w:tcW w:w="2843" w:type="pct"/>
            <w:noWrap w:val="0"/>
            <w:vAlign w:val="center"/>
          </w:tcPr>
          <w:p w14:paraId="60B4434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总大肠菌群、耐热大肠菌群不满足《生活饮用水卫生标准》，各监测因子除总硬度为Ⅱ类水质标准外，其他各因子均能达到Ⅰ类水质标准。</w:t>
            </w:r>
          </w:p>
        </w:tc>
      </w:tr>
      <w:tr w14:paraId="3A9DF7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42" w:type="pct"/>
            <w:noWrap w:val="0"/>
            <w:vAlign w:val="center"/>
          </w:tcPr>
          <w:p w14:paraId="4C05884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w:t>
            </w:r>
          </w:p>
        </w:tc>
        <w:tc>
          <w:tcPr>
            <w:tcW w:w="329" w:type="pct"/>
            <w:vMerge w:val="continue"/>
            <w:noWrap w:val="0"/>
            <w:vAlign w:val="center"/>
          </w:tcPr>
          <w:p w14:paraId="3111E7E8">
            <w:pPr>
              <w:pStyle w:val="17"/>
              <w:kinsoku/>
              <w:wordWrap/>
              <w:topLinePunct w:val="0"/>
              <w:autoSpaceDE/>
              <w:autoSpaceDN/>
              <w:bidi w:val="0"/>
              <w:adjustRightInd/>
              <w:snapToGrid/>
              <w:textAlignment w:val="auto"/>
              <w:rPr>
                <w:rFonts w:hint="default" w:ascii="Times New Roman" w:hAnsi="Times New Roman" w:cs="Times New Roman"/>
              </w:rPr>
            </w:pPr>
          </w:p>
        </w:tc>
        <w:tc>
          <w:tcPr>
            <w:tcW w:w="599" w:type="pct"/>
            <w:noWrap w:val="0"/>
            <w:vAlign w:val="center"/>
          </w:tcPr>
          <w:p w14:paraId="58DEFA8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太平村水源</w:t>
            </w:r>
          </w:p>
        </w:tc>
        <w:tc>
          <w:tcPr>
            <w:tcW w:w="555" w:type="pct"/>
            <w:noWrap w:val="0"/>
            <w:vAlign w:val="center"/>
          </w:tcPr>
          <w:p w14:paraId="0A36965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引泉型</w:t>
            </w:r>
          </w:p>
        </w:tc>
        <w:tc>
          <w:tcPr>
            <w:tcW w:w="429" w:type="pct"/>
            <w:noWrap w:val="0"/>
            <w:vAlign w:val="center"/>
          </w:tcPr>
          <w:p w14:paraId="0324068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正常</w:t>
            </w:r>
          </w:p>
        </w:tc>
        <w:tc>
          <w:tcPr>
            <w:tcW w:w="2843" w:type="pct"/>
            <w:noWrap w:val="0"/>
            <w:vAlign w:val="center"/>
          </w:tcPr>
          <w:p w14:paraId="60816CD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各监测因子除铁为Ⅱ类水质标准外，其他各因子均能达到Ⅰ类水质标准，其中细菌总数、总大肠菌群、耐热大肠菌群及大肠埃希氏菌，均能够满足《生活饮用水卫生标准》。</w:t>
            </w:r>
          </w:p>
        </w:tc>
      </w:tr>
      <w:tr w14:paraId="46693B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42" w:type="pct"/>
            <w:noWrap w:val="0"/>
            <w:vAlign w:val="center"/>
          </w:tcPr>
          <w:p w14:paraId="3FB9847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6</w:t>
            </w:r>
          </w:p>
        </w:tc>
        <w:tc>
          <w:tcPr>
            <w:tcW w:w="329" w:type="pct"/>
            <w:vMerge w:val="restart"/>
            <w:noWrap w:val="0"/>
            <w:vAlign w:val="center"/>
          </w:tcPr>
          <w:p w14:paraId="6714E03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大阳岔镇</w:t>
            </w:r>
          </w:p>
        </w:tc>
        <w:tc>
          <w:tcPr>
            <w:tcW w:w="599" w:type="pct"/>
            <w:noWrap w:val="0"/>
            <w:vAlign w:val="center"/>
          </w:tcPr>
          <w:p w14:paraId="2571637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路桩子水源</w:t>
            </w:r>
          </w:p>
        </w:tc>
        <w:tc>
          <w:tcPr>
            <w:tcW w:w="555" w:type="pct"/>
            <w:noWrap w:val="0"/>
            <w:vAlign w:val="center"/>
          </w:tcPr>
          <w:p w14:paraId="2E204D7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引泉型</w:t>
            </w:r>
          </w:p>
        </w:tc>
        <w:tc>
          <w:tcPr>
            <w:tcW w:w="429" w:type="pct"/>
            <w:noWrap w:val="0"/>
            <w:vAlign w:val="center"/>
          </w:tcPr>
          <w:p w14:paraId="6DE4924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正常</w:t>
            </w:r>
          </w:p>
        </w:tc>
        <w:tc>
          <w:tcPr>
            <w:tcW w:w="2843" w:type="pct"/>
            <w:noWrap w:val="0"/>
            <w:vAlign w:val="center"/>
          </w:tcPr>
          <w:p w14:paraId="3F4F9AD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各监测因子除总硬度为Ⅱ类水质标准外，其他各因子均能达到Ⅰ类水质标准，其中菌群总数、耐热大肠菌群及总大肠菌群不满足《生活饮用水卫生标准》，大肠埃希氏菌能够满足《生活饮用水卫生标准》。</w:t>
            </w:r>
          </w:p>
        </w:tc>
      </w:tr>
      <w:tr w14:paraId="750CC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42" w:type="pct"/>
            <w:noWrap w:val="0"/>
            <w:vAlign w:val="center"/>
          </w:tcPr>
          <w:p w14:paraId="6F6196F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7</w:t>
            </w:r>
          </w:p>
        </w:tc>
        <w:tc>
          <w:tcPr>
            <w:tcW w:w="329" w:type="pct"/>
            <w:vMerge w:val="continue"/>
            <w:noWrap w:val="0"/>
            <w:vAlign w:val="center"/>
          </w:tcPr>
          <w:p w14:paraId="160C7C63">
            <w:pPr>
              <w:pStyle w:val="17"/>
              <w:kinsoku/>
              <w:wordWrap/>
              <w:topLinePunct w:val="0"/>
              <w:autoSpaceDE/>
              <w:autoSpaceDN/>
              <w:bidi w:val="0"/>
              <w:adjustRightInd/>
              <w:snapToGrid/>
              <w:textAlignment w:val="auto"/>
              <w:rPr>
                <w:rFonts w:hint="default" w:ascii="Times New Roman" w:hAnsi="Times New Roman" w:cs="Times New Roman"/>
              </w:rPr>
            </w:pPr>
          </w:p>
        </w:tc>
        <w:tc>
          <w:tcPr>
            <w:tcW w:w="599" w:type="pct"/>
            <w:noWrap w:val="0"/>
            <w:vAlign w:val="center"/>
          </w:tcPr>
          <w:p w14:paraId="3F30F94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小羊桥水源</w:t>
            </w:r>
          </w:p>
        </w:tc>
        <w:tc>
          <w:tcPr>
            <w:tcW w:w="555" w:type="pct"/>
            <w:noWrap w:val="0"/>
            <w:vAlign w:val="center"/>
          </w:tcPr>
          <w:p w14:paraId="68406DC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引泉型</w:t>
            </w:r>
          </w:p>
        </w:tc>
        <w:tc>
          <w:tcPr>
            <w:tcW w:w="429" w:type="pct"/>
            <w:noWrap w:val="0"/>
            <w:vAlign w:val="center"/>
          </w:tcPr>
          <w:p w14:paraId="436C5C9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正常</w:t>
            </w:r>
          </w:p>
        </w:tc>
        <w:tc>
          <w:tcPr>
            <w:tcW w:w="2843" w:type="pct"/>
            <w:noWrap w:val="0"/>
            <w:vAlign w:val="center"/>
          </w:tcPr>
          <w:p w14:paraId="55A948A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各监测因子除总硬度为Ⅱ类水质标准外，其他各因子均能达到Ⅰ类水质标准，其中总大肠菌群不满足《生活饮用水卫生标准》，菌群总数、耐热大肠菌群及大肠埃希氏菌均能够满足《生活饮用水卫生标准》。</w:t>
            </w:r>
          </w:p>
        </w:tc>
      </w:tr>
      <w:tr w14:paraId="312C68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42" w:type="pct"/>
            <w:noWrap w:val="0"/>
            <w:vAlign w:val="center"/>
          </w:tcPr>
          <w:p w14:paraId="791C8B2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8</w:t>
            </w:r>
          </w:p>
        </w:tc>
        <w:tc>
          <w:tcPr>
            <w:tcW w:w="329" w:type="pct"/>
            <w:vMerge w:val="restart"/>
            <w:noWrap w:val="0"/>
            <w:vAlign w:val="center"/>
          </w:tcPr>
          <w:p w14:paraId="0B60C2D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湾沟镇</w:t>
            </w:r>
          </w:p>
        </w:tc>
        <w:tc>
          <w:tcPr>
            <w:tcW w:w="599" w:type="pct"/>
            <w:noWrap w:val="0"/>
            <w:vAlign w:val="center"/>
          </w:tcPr>
          <w:p w14:paraId="440F06C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庙沟水源</w:t>
            </w:r>
          </w:p>
        </w:tc>
        <w:tc>
          <w:tcPr>
            <w:tcW w:w="555" w:type="pct"/>
            <w:noWrap w:val="0"/>
            <w:vAlign w:val="center"/>
          </w:tcPr>
          <w:p w14:paraId="3095881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深水井型</w:t>
            </w:r>
          </w:p>
        </w:tc>
        <w:tc>
          <w:tcPr>
            <w:tcW w:w="429" w:type="pct"/>
            <w:noWrap w:val="0"/>
            <w:vAlign w:val="center"/>
          </w:tcPr>
          <w:p w14:paraId="1EFBFB6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正常</w:t>
            </w:r>
          </w:p>
        </w:tc>
        <w:tc>
          <w:tcPr>
            <w:tcW w:w="2843" w:type="pct"/>
            <w:noWrap w:val="0"/>
            <w:vAlign w:val="center"/>
          </w:tcPr>
          <w:p w14:paraId="55D4696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各监测因子除氨氮为Ⅲ类水质、汞为Ⅱ类水质标准外，其他各因子均能达到Ⅰ类水质标准，其中菌落群数不能满足《生活饮用水卫生标准》</w:t>
            </w:r>
          </w:p>
        </w:tc>
      </w:tr>
      <w:tr w14:paraId="11250C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42" w:type="pct"/>
            <w:noWrap w:val="0"/>
            <w:vAlign w:val="center"/>
          </w:tcPr>
          <w:p w14:paraId="508B953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9</w:t>
            </w:r>
          </w:p>
        </w:tc>
        <w:tc>
          <w:tcPr>
            <w:tcW w:w="329" w:type="pct"/>
            <w:vMerge w:val="continue"/>
            <w:noWrap w:val="0"/>
            <w:vAlign w:val="center"/>
          </w:tcPr>
          <w:p w14:paraId="519B5630">
            <w:pPr>
              <w:pStyle w:val="17"/>
              <w:kinsoku/>
              <w:wordWrap/>
              <w:topLinePunct w:val="0"/>
              <w:autoSpaceDE/>
              <w:autoSpaceDN/>
              <w:bidi w:val="0"/>
              <w:adjustRightInd/>
              <w:snapToGrid/>
              <w:textAlignment w:val="auto"/>
              <w:rPr>
                <w:rFonts w:hint="default" w:ascii="Times New Roman" w:hAnsi="Times New Roman" w:cs="Times New Roman"/>
              </w:rPr>
            </w:pPr>
          </w:p>
        </w:tc>
        <w:tc>
          <w:tcPr>
            <w:tcW w:w="599" w:type="pct"/>
            <w:noWrap w:val="0"/>
            <w:vAlign w:val="center"/>
          </w:tcPr>
          <w:p w14:paraId="25883F7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直沟水源</w:t>
            </w:r>
          </w:p>
        </w:tc>
        <w:tc>
          <w:tcPr>
            <w:tcW w:w="555" w:type="pct"/>
            <w:noWrap w:val="0"/>
            <w:vAlign w:val="center"/>
          </w:tcPr>
          <w:p w14:paraId="3447813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傍河取水型</w:t>
            </w:r>
          </w:p>
        </w:tc>
        <w:tc>
          <w:tcPr>
            <w:tcW w:w="429" w:type="pct"/>
            <w:noWrap w:val="0"/>
            <w:vAlign w:val="center"/>
          </w:tcPr>
          <w:p w14:paraId="353DD3B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正常</w:t>
            </w:r>
          </w:p>
        </w:tc>
        <w:tc>
          <w:tcPr>
            <w:tcW w:w="2843" w:type="pct"/>
            <w:noWrap w:val="0"/>
            <w:vAlign w:val="center"/>
          </w:tcPr>
          <w:p w14:paraId="000F862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各监测因子除氨氮、总硬度、汞为Ⅱ类水质标准外，其他各因子均能达到Ⅰ类水质标准、《生活饮用水卫生标准》</w:t>
            </w:r>
          </w:p>
        </w:tc>
      </w:tr>
      <w:tr w14:paraId="3F7D40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42" w:type="pct"/>
            <w:noWrap w:val="0"/>
            <w:vAlign w:val="center"/>
          </w:tcPr>
          <w:p w14:paraId="415EA54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10</w:t>
            </w:r>
          </w:p>
        </w:tc>
        <w:tc>
          <w:tcPr>
            <w:tcW w:w="329" w:type="pct"/>
            <w:vMerge w:val="continue"/>
            <w:noWrap w:val="0"/>
            <w:vAlign w:val="center"/>
          </w:tcPr>
          <w:p w14:paraId="38B60F97">
            <w:pPr>
              <w:pStyle w:val="17"/>
              <w:kinsoku/>
              <w:wordWrap/>
              <w:topLinePunct w:val="0"/>
              <w:autoSpaceDE/>
              <w:autoSpaceDN/>
              <w:bidi w:val="0"/>
              <w:adjustRightInd/>
              <w:snapToGrid/>
              <w:textAlignment w:val="auto"/>
              <w:rPr>
                <w:rFonts w:hint="default" w:ascii="Times New Roman" w:hAnsi="Times New Roman" w:cs="Times New Roman"/>
              </w:rPr>
            </w:pPr>
          </w:p>
        </w:tc>
        <w:tc>
          <w:tcPr>
            <w:tcW w:w="599" w:type="pct"/>
            <w:noWrap w:val="0"/>
            <w:vAlign w:val="center"/>
          </w:tcPr>
          <w:p w14:paraId="30FAB28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大东沟水源</w:t>
            </w:r>
          </w:p>
        </w:tc>
        <w:tc>
          <w:tcPr>
            <w:tcW w:w="555" w:type="pct"/>
            <w:noWrap w:val="0"/>
            <w:vAlign w:val="center"/>
          </w:tcPr>
          <w:p w14:paraId="6CFCC9B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深水井型</w:t>
            </w:r>
          </w:p>
        </w:tc>
        <w:tc>
          <w:tcPr>
            <w:tcW w:w="429" w:type="pct"/>
            <w:noWrap w:val="0"/>
            <w:vAlign w:val="center"/>
          </w:tcPr>
          <w:p w14:paraId="4C6B79F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正常</w:t>
            </w:r>
          </w:p>
        </w:tc>
        <w:tc>
          <w:tcPr>
            <w:tcW w:w="2843" w:type="pct"/>
            <w:noWrap w:val="0"/>
            <w:vAlign w:val="center"/>
          </w:tcPr>
          <w:p w14:paraId="72B5CD6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各监测因子均能达到Ⅰ类水质标准，其中细菌总数、总大肠菌群、耐热大肠菌群及大肠埃希氏菌，均能够满足《生活饮用水卫生标准》。</w:t>
            </w:r>
          </w:p>
        </w:tc>
      </w:tr>
      <w:tr w14:paraId="79F51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42" w:type="pct"/>
            <w:noWrap w:val="0"/>
            <w:vAlign w:val="center"/>
          </w:tcPr>
          <w:p w14:paraId="311D8AD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11</w:t>
            </w:r>
          </w:p>
        </w:tc>
        <w:tc>
          <w:tcPr>
            <w:tcW w:w="329" w:type="pct"/>
            <w:vMerge w:val="continue"/>
            <w:noWrap w:val="0"/>
            <w:vAlign w:val="center"/>
          </w:tcPr>
          <w:p w14:paraId="4E47A541">
            <w:pPr>
              <w:pStyle w:val="17"/>
              <w:kinsoku/>
              <w:wordWrap/>
              <w:topLinePunct w:val="0"/>
              <w:autoSpaceDE/>
              <w:autoSpaceDN/>
              <w:bidi w:val="0"/>
              <w:adjustRightInd/>
              <w:snapToGrid/>
              <w:textAlignment w:val="auto"/>
              <w:rPr>
                <w:rFonts w:hint="default" w:ascii="Times New Roman" w:hAnsi="Times New Roman" w:cs="Times New Roman"/>
              </w:rPr>
            </w:pPr>
          </w:p>
        </w:tc>
        <w:tc>
          <w:tcPr>
            <w:tcW w:w="599" w:type="pct"/>
            <w:noWrap w:val="0"/>
            <w:vAlign w:val="center"/>
          </w:tcPr>
          <w:p w14:paraId="7219715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湾沟镇水源</w:t>
            </w:r>
          </w:p>
        </w:tc>
        <w:tc>
          <w:tcPr>
            <w:tcW w:w="555" w:type="pct"/>
            <w:noWrap w:val="0"/>
            <w:vAlign w:val="center"/>
          </w:tcPr>
          <w:p w14:paraId="5FA9548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深水井型</w:t>
            </w:r>
          </w:p>
        </w:tc>
        <w:tc>
          <w:tcPr>
            <w:tcW w:w="429" w:type="pct"/>
            <w:noWrap w:val="0"/>
            <w:vAlign w:val="center"/>
          </w:tcPr>
          <w:p w14:paraId="6E015BD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正常</w:t>
            </w:r>
          </w:p>
        </w:tc>
        <w:tc>
          <w:tcPr>
            <w:tcW w:w="2843" w:type="pct"/>
            <w:noWrap w:val="0"/>
            <w:vAlign w:val="center"/>
          </w:tcPr>
          <w:p w14:paraId="3173298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除氨氮达Ⅳ类标准外，各监测因子均能达到Ⅰ类水质标准，其中总大肠菌群、耐热大肠菌群不满足《生活饮用水卫生标准》，菌群总数及大肠埃希氏菌，能够满足《生活饮用水卫生标准》。</w:t>
            </w:r>
          </w:p>
        </w:tc>
      </w:tr>
      <w:tr w14:paraId="05F990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42" w:type="pct"/>
            <w:noWrap w:val="0"/>
            <w:vAlign w:val="center"/>
          </w:tcPr>
          <w:p w14:paraId="7980FA9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12</w:t>
            </w:r>
          </w:p>
        </w:tc>
        <w:tc>
          <w:tcPr>
            <w:tcW w:w="329" w:type="pct"/>
            <w:vMerge w:val="continue"/>
            <w:noWrap w:val="0"/>
            <w:vAlign w:val="center"/>
          </w:tcPr>
          <w:p w14:paraId="03804187">
            <w:pPr>
              <w:pStyle w:val="17"/>
              <w:kinsoku/>
              <w:wordWrap/>
              <w:topLinePunct w:val="0"/>
              <w:autoSpaceDE/>
              <w:autoSpaceDN/>
              <w:bidi w:val="0"/>
              <w:adjustRightInd/>
              <w:snapToGrid/>
              <w:textAlignment w:val="auto"/>
              <w:rPr>
                <w:rFonts w:hint="default" w:ascii="Times New Roman" w:hAnsi="Times New Roman" w:cs="Times New Roman"/>
              </w:rPr>
            </w:pPr>
          </w:p>
        </w:tc>
        <w:tc>
          <w:tcPr>
            <w:tcW w:w="599" w:type="pct"/>
            <w:noWrap w:val="0"/>
            <w:vAlign w:val="center"/>
          </w:tcPr>
          <w:p w14:paraId="010ABF2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大北沟1#水源</w:t>
            </w:r>
          </w:p>
        </w:tc>
        <w:tc>
          <w:tcPr>
            <w:tcW w:w="555" w:type="pct"/>
            <w:noWrap w:val="0"/>
            <w:vAlign w:val="center"/>
          </w:tcPr>
          <w:p w14:paraId="097BF8B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傍河取水型</w:t>
            </w:r>
          </w:p>
        </w:tc>
        <w:tc>
          <w:tcPr>
            <w:tcW w:w="429" w:type="pct"/>
            <w:noWrap w:val="0"/>
            <w:vAlign w:val="center"/>
          </w:tcPr>
          <w:p w14:paraId="29132AF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正常</w:t>
            </w:r>
          </w:p>
        </w:tc>
        <w:tc>
          <w:tcPr>
            <w:tcW w:w="2843" w:type="pct"/>
            <w:noWrap w:val="0"/>
            <w:vAlign w:val="center"/>
          </w:tcPr>
          <w:p w14:paraId="5306F44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除汞为Ⅱ类水质、氨氮为Ⅲ类水质标准外、其他各因子均能达到Ⅰ类水质标准、《生活饮用水卫生标准》。</w:t>
            </w:r>
          </w:p>
        </w:tc>
      </w:tr>
      <w:tr w14:paraId="66C2AF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42" w:type="pct"/>
            <w:noWrap w:val="0"/>
            <w:vAlign w:val="center"/>
          </w:tcPr>
          <w:p w14:paraId="7469A39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13</w:t>
            </w:r>
          </w:p>
        </w:tc>
        <w:tc>
          <w:tcPr>
            <w:tcW w:w="329" w:type="pct"/>
            <w:vMerge w:val="continue"/>
            <w:noWrap w:val="0"/>
            <w:vAlign w:val="center"/>
          </w:tcPr>
          <w:p w14:paraId="59277CB2">
            <w:pPr>
              <w:pStyle w:val="17"/>
              <w:kinsoku/>
              <w:wordWrap/>
              <w:topLinePunct w:val="0"/>
              <w:autoSpaceDE/>
              <w:autoSpaceDN/>
              <w:bidi w:val="0"/>
              <w:adjustRightInd/>
              <w:snapToGrid/>
              <w:textAlignment w:val="auto"/>
              <w:rPr>
                <w:rFonts w:hint="default" w:ascii="Times New Roman" w:hAnsi="Times New Roman" w:cs="Times New Roman"/>
              </w:rPr>
            </w:pPr>
          </w:p>
        </w:tc>
        <w:tc>
          <w:tcPr>
            <w:tcW w:w="599" w:type="pct"/>
            <w:noWrap w:val="0"/>
            <w:vAlign w:val="center"/>
          </w:tcPr>
          <w:p w14:paraId="1CA5FE0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大北沟2#水源</w:t>
            </w:r>
          </w:p>
        </w:tc>
        <w:tc>
          <w:tcPr>
            <w:tcW w:w="555" w:type="pct"/>
            <w:noWrap w:val="0"/>
            <w:vAlign w:val="center"/>
          </w:tcPr>
          <w:p w14:paraId="49040CF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引泉型</w:t>
            </w:r>
          </w:p>
        </w:tc>
        <w:tc>
          <w:tcPr>
            <w:tcW w:w="429" w:type="pct"/>
            <w:noWrap w:val="0"/>
            <w:vAlign w:val="center"/>
          </w:tcPr>
          <w:p w14:paraId="673C74F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正常</w:t>
            </w:r>
          </w:p>
        </w:tc>
        <w:tc>
          <w:tcPr>
            <w:tcW w:w="2843" w:type="pct"/>
            <w:noWrap w:val="0"/>
            <w:vAlign w:val="center"/>
          </w:tcPr>
          <w:p w14:paraId="4192F5C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各监测因子除汞为Ⅱ类、氨氮为Ⅲ类水质标准外，其他各因子均能达到Ⅰ类水质标准、《生活饮用水卫生标准》；菌落群数、耐热大肠菌群及大肠埃希氏菌，均不能满足《生活饮用水卫生标准》</w:t>
            </w:r>
          </w:p>
        </w:tc>
      </w:tr>
      <w:tr w14:paraId="27BEC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42" w:type="pct"/>
            <w:noWrap w:val="0"/>
            <w:vAlign w:val="center"/>
          </w:tcPr>
          <w:p w14:paraId="5EE3AED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14</w:t>
            </w:r>
          </w:p>
        </w:tc>
        <w:tc>
          <w:tcPr>
            <w:tcW w:w="329" w:type="pct"/>
            <w:vMerge w:val="continue"/>
            <w:noWrap w:val="0"/>
            <w:vAlign w:val="center"/>
          </w:tcPr>
          <w:p w14:paraId="360129EC">
            <w:pPr>
              <w:pStyle w:val="17"/>
              <w:kinsoku/>
              <w:wordWrap/>
              <w:topLinePunct w:val="0"/>
              <w:autoSpaceDE/>
              <w:autoSpaceDN/>
              <w:bidi w:val="0"/>
              <w:adjustRightInd/>
              <w:snapToGrid/>
              <w:textAlignment w:val="auto"/>
              <w:rPr>
                <w:rFonts w:hint="default" w:ascii="Times New Roman" w:hAnsi="Times New Roman" w:cs="Times New Roman"/>
              </w:rPr>
            </w:pPr>
          </w:p>
        </w:tc>
        <w:tc>
          <w:tcPr>
            <w:tcW w:w="599" w:type="pct"/>
            <w:noWrap w:val="0"/>
            <w:vAlign w:val="center"/>
          </w:tcPr>
          <w:p w14:paraId="4670A16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平川村水源</w:t>
            </w:r>
          </w:p>
        </w:tc>
        <w:tc>
          <w:tcPr>
            <w:tcW w:w="555" w:type="pct"/>
            <w:noWrap w:val="0"/>
            <w:vAlign w:val="center"/>
          </w:tcPr>
          <w:p w14:paraId="295EB16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引泉型</w:t>
            </w:r>
          </w:p>
        </w:tc>
        <w:tc>
          <w:tcPr>
            <w:tcW w:w="429" w:type="pct"/>
            <w:noWrap w:val="0"/>
            <w:vAlign w:val="center"/>
          </w:tcPr>
          <w:p w14:paraId="61A2444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正常</w:t>
            </w:r>
          </w:p>
        </w:tc>
        <w:tc>
          <w:tcPr>
            <w:tcW w:w="2843" w:type="pct"/>
            <w:noWrap w:val="0"/>
            <w:vAlign w:val="center"/>
          </w:tcPr>
          <w:p w14:paraId="5DC2615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除氨氮、总硬度为Ⅱ类标准，其余各监测因子均能达到Ⅰ类水质标准及《生活饮用水卫生标准》</w:t>
            </w:r>
          </w:p>
        </w:tc>
      </w:tr>
      <w:tr w14:paraId="06022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42" w:type="pct"/>
            <w:noWrap w:val="0"/>
            <w:vAlign w:val="center"/>
          </w:tcPr>
          <w:p w14:paraId="0CE8091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15</w:t>
            </w:r>
          </w:p>
        </w:tc>
        <w:tc>
          <w:tcPr>
            <w:tcW w:w="329" w:type="pct"/>
            <w:vMerge w:val="continue"/>
            <w:noWrap w:val="0"/>
            <w:vAlign w:val="center"/>
          </w:tcPr>
          <w:p w14:paraId="2B3E9672">
            <w:pPr>
              <w:pStyle w:val="17"/>
              <w:kinsoku/>
              <w:wordWrap/>
              <w:topLinePunct w:val="0"/>
              <w:autoSpaceDE/>
              <w:autoSpaceDN/>
              <w:bidi w:val="0"/>
              <w:adjustRightInd/>
              <w:snapToGrid/>
              <w:textAlignment w:val="auto"/>
              <w:rPr>
                <w:rFonts w:hint="default" w:ascii="Times New Roman" w:hAnsi="Times New Roman" w:cs="Times New Roman"/>
              </w:rPr>
            </w:pPr>
          </w:p>
        </w:tc>
        <w:tc>
          <w:tcPr>
            <w:tcW w:w="599" w:type="pct"/>
            <w:noWrap w:val="0"/>
            <w:vAlign w:val="center"/>
          </w:tcPr>
          <w:p w14:paraId="32798AB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湾沟林业局1#水源</w:t>
            </w:r>
          </w:p>
        </w:tc>
        <w:tc>
          <w:tcPr>
            <w:tcW w:w="555" w:type="pct"/>
            <w:noWrap w:val="0"/>
            <w:vAlign w:val="center"/>
          </w:tcPr>
          <w:p w14:paraId="199C9BC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引泉型</w:t>
            </w:r>
          </w:p>
        </w:tc>
        <w:tc>
          <w:tcPr>
            <w:tcW w:w="429" w:type="pct"/>
            <w:noWrap w:val="0"/>
            <w:vAlign w:val="center"/>
          </w:tcPr>
          <w:p w14:paraId="7A602EB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正常</w:t>
            </w:r>
          </w:p>
        </w:tc>
        <w:tc>
          <w:tcPr>
            <w:tcW w:w="2843" w:type="pct"/>
            <w:noWrap w:val="0"/>
            <w:vAlign w:val="center"/>
          </w:tcPr>
          <w:p w14:paraId="1F98E1E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各监测因子除氨氮为Ⅲ类水质标准、汞为Ⅱ类水质标准外，其他各因子均能达到Ⅰ类水质标准，其中总大肠菌群、菌群总数、耐热大肠菌群不满足《生活饮用水卫生标准》，大肠埃希氏菌，能够满足《生活饮用水卫生标准》。</w:t>
            </w:r>
          </w:p>
        </w:tc>
      </w:tr>
      <w:tr w14:paraId="1A8CB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42" w:type="pct"/>
            <w:noWrap w:val="0"/>
            <w:vAlign w:val="center"/>
          </w:tcPr>
          <w:p w14:paraId="136ED6A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16</w:t>
            </w:r>
          </w:p>
        </w:tc>
        <w:tc>
          <w:tcPr>
            <w:tcW w:w="329" w:type="pct"/>
            <w:vMerge w:val="continue"/>
            <w:noWrap w:val="0"/>
            <w:vAlign w:val="center"/>
          </w:tcPr>
          <w:p w14:paraId="320C94FE">
            <w:pPr>
              <w:pStyle w:val="17"/>
              <w:kinsoku/>
              <w:wordWrap/>
              <w:topLinePunct w:val="0"/>
              <w:autoSpaceDE/>
              <w:autoSpaceDN/>
              <w:bidi w:val="0"/>
              <w:adjustRightInd/>
              <w:snapToGrid/>
              <w:textAlignment w:val="auto"/>
              <w:rPr>
                <w:rFonts w:hint="default" w:ascii="Times New Roman" w:hAnsi="Times New Roman" w:cs="Times New Roman"/>
              </w:rPr>
            </w:pPr>
          </w:p>
        </w:tc>
        <w:tc>
          <w:tcPr>
            <w:tcW w:w="599" w:type="pct"/>
            <w:noWrap w:val="0"/>
            <w:vAlign w:val="center"/>
          </w:tcPr>
          <w:p w14:paraId="30A1CE2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湾沟林业局2#水源</w:t>
            </w:r>
          </w:p>
        </w:tc>
        <w:tc>
          <w:tcPr>
            <w:tcW w:w="555" w:type="pct"/>
            <w:noWrap w:val="0"/>
            <w:vAlign w:val="center"/>
          </w:tcPr>
          <w:p w14:paraId="4875C48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水库取水型</w:t>
            </w:r>
          </w:p>
        </w:tc>
        <w:tc>
          <w:tcPr>
            <w:tcW w:w="429" w:type="pct"/>
            <w:noWrap w:val="0"/>
            <w:vAlign w:val="center"/>
          </w:tcPr>
          <w:p w14:paraId="76DA0FC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尚未使用</w:t>
            </w:r>
          </w:p>
        </w:tc>
        <w:tc>
          <w:tcPr>
            <w:tcW w:w="2843" w:type="pct"/>
            <w:noWrap w:val="0"/>
            <w:vAlign w:val="center"/>
          </w:tcPr>
          <w:p w14:paraId="5C0BA73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各监测因子均能够满足《地表水环境质量标准》、《生活饮用水卫生标准》要求。</w:t>
            </w:r>
          </w:p>
        </w:tc>
      </w:tr>
      <w:tr w14:paraId="2CC7BF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42" w:type="pct"/>
            <w:tcBorders>
              <w:top w:val="single" w:color="000000" w:sz="4" w:space="0"/>
            </w:tcBorders>
            <w:noWrap w:val="0"/>
            <w:vAlign w:val="center"/>
          </w:tcPr>
          <w:p w14:paraId="561764A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17</w:t>
            </w:r>
          </w:p>
        </w:tc>
        <w:tc>
          <w:tcPr>
            <w:tcW w:w="329" w:type="pct"/>
            <w:vMerge w:val="restart"/>
            <w:tcBorders>
              <w:top w:val="single" w:color="000000" w:sz="4" w:space="0"/>
            </w:tcBorders>
            <w:noWrap w:val="0"/>
            <w:vAlign w:val="center"/>
          </w:tcPr>
          <w:p w14:paraId="54D4082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石人镇</w:t>
            </w:r>
          </w:p>
        </w:tc>
        <w:tc>
          <w:tcPr>
            <w:tcW w:w="599" w:type="pct"/>
            <w:tcBorders>
              <w:top w:val="single" w:color="000000" w:sz="4" w:space="0"/>
            </w:tcBorders>
            <w:noWrap w:val="0"/>
            <w:vAlign w:val="center"/>
          </w:tcPr>
          <w:p w14:paraId="3F86C60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老岭水源</w:t>
            </w:r>
          </w:p>
        </w:tc>
        <w:tc>
          <w:tcPr>
            <w:tcW w:w="555" w:type="pct"/>
            <w:noWrap w:val="0"/>
            <w:vAlign w:val="center"/>
          </w:tcPr>
          <w:p w14:paraId="5EECE19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傍河取水型</w:t>
            </w:r>
          </w:p>
        </w:tc>
        <w:tc>
          <w:tcPr>
            <w:tcW w:w="429" w:type="pct"/>
            <w:noWrap w:val="0"/>
            <w:vAlign w:val="center"/>
          </w:tcPr>
          <w:p w14:paraId="1ADAED0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正常</w:t>
            </w:r>
          </w:p>
        </w:tc>
        <w:tc>
          <w:tcPr>
            <w:tcW w:w="2843" w:type="pct"/>
            <w:noWrap w:val="0"/>
            <w:vAlign w:val="center"/>
          </w:tcPr>
          <w:p w14:paraId="108BF58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各监测因子除氨氮为Ⅲ类水质标准、总大肠菌群、耐热大肠菌群及菌落群数外，各监测因子均能达到Ⅰ类水质标准、《生活饮用水卫生标准》；总大肠菌群、耐热大肠菌群及菌落群数不能满足《生活饮用水卫生标准》。</w:t>
            </w:r>
          </w:p>
        </w:tc>
      </w:tr>
      <w:tr w14:paraId="7B592A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42" w:type="pct"/>
            <w:noWrap w:val="0"/>
            <w:vAlign w:val="center"/>
          </w:tcPr>
          <w:p w14:paraId="33A8EF7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18</w:t>
            </w:r>
          </w:p>
        </w:tc>
        <w:tc>
          <w:tcPr>
            <w:tcW w:w="329" w:type="pct"/>
            <w:vMerge w:val="continue"/>
            <w:noWrap w:val="0"/>
            <w:vAlign w:val="center"/>
          </w:tcPr>
          <w:p w14:paraId="4A0187C1">
            <w:pPr>
              <w:pStyle w:val="17"/>
              <w:kinsoku/>
              <w:wordWrap/>
              <w:topLinePunct w:val="0"/>
              <w:autoSpaceDE/>
              <w:autoSpaceDN/>
              <w:bidi w:val="0"/>
              <w:adjustRightInd/>
              <w:snapToGrid/>
              <w:textAlignment w:val="auto"/>
              <w:rPr>
                <w:rFonts w:hint="default" w:ascii="Times New Roman" w:hAnsi="Times New Roman" w:cs="Times New Roman"/>
              </w:rPr>
            </w:pPr>
          </w:p>
        </w:tc>
        <w:tc>
          <w:tcPr>
            <w:tcW w:w="599" w:type="pct"/>
            <w:noWrap w:val="0"/>
            <w:vAlign w:val="center"/>
          </w:tcPr>
          <w:p w14:paraId="2DB334A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石清沟水源</w:t>
            </w:r>
          </w:p>
        </w:tc>
        <w:tc>
          <w:tcPr>
            <w:tcW w:w="555" w:type="pct"/>
            <w:noWrap w:val="0"/>
            <w:vAlign w:val="center"/>
          </w:tcPr>
          <w:p w14:paraId="276FB05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傍河取水型</w:t>
            </w:r>
          </w:p>
        </w:tc>
        <w:tc>
          <w:tcPr>
            <w:tcW w:w="429" w:type="pct"/>
            <w:noWrap w:val="0"/>
            <w:vAlign w:val="center"/>
          </w:tcPr>
          <w:p w14:paraId="02F5F3F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正常</w:t>
            </w:r>
          </w:p>
        </w:tc>
        <w:tc>
          <w:tcPr>
            <w:tcW w:w="2843" w:type="pct"/>
            <w:noWrap w:val="0"/>
            <w:vAlign w:val="center"/>
          </w:tcPr>
          <w:p w14:paraId="176D1C2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各监测因子除氨氮为Ⅲ类水质标准、总大肠菌群、耐热大肠菌群及菌落群数外，其他监测因子均能够满足各监测因子均能达到Ⅰ类水质标准、《生活饮用水卫生标准》；总大肠菌群、耐热大肠菌群及菌落群数不能满足《生活饮用水卫生标准》。</w:t>
            </w:r>
          </w:p>
        </w:tc>
      </w:tr>
      <w:tr w14:paraId="304324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42" w:type="pct"/>
            <w:noWrap w:val="0"/>
            <w:vAlign w:val="center"/>
          </w:tcPr>
          <w:p w14:paraId="260BCC6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19</w:t>
            </w:r>
          </w:p>
        </w:tc>
        <w:tc>
          <w:tcPr>
            <w:tcW w:w="329" w:type="pct"/>
            <w:vMerge w:val="continue"/>
            <w:noWrap w:val="0"/>
            <w:vAlign w:val="center"/>
          </w:tcPr>
          <w:p w14:paraId="17BDFE7E">
            <w:pPr>
              <w:pStyle w:val="17"/>
              <w:kinsoku/>
              <w:wordWrap/>
              <w:topLinePunct w:val="0"/>
              <w:autoSpaceDE/>
              <w:autoSpaceDN/>
              <w:bidi w:val="0"/>
              <w:adjustRightInd/>
              <w:snapToGrid/>
              <w:textAlignment w:val="auto"/>
              <w:rPr>
                <w:rFonts w:hint="default" w:ascii="Times New Roman" w:hAnsi="Times New Roman" w:cs="Times New Roman"/>
              </w:rPr>
            </w:pPr>
          </w:p>
        </w:tc>
        <w:tc>
          <w:tcPr>
            <w:tcW w:w="599" w:type="pct"/>
            <w:noWrap w:val="0"/>
            <w:vAlign w:val="center"/>
          </w:tcPr>
          <w:p w14:paraId="376B16F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遥林水源</w:t>
            </w:r>
          </w:p>
        </w:tc>
        <w:tc>
          <w:tcPr>
            <w:tcW w:w="555" w:type="pct"/>
            <w:noWrap w:val="0"/>
            <w:vAlign w:val="center"/>
          </w:tcPr>
          <w:p w14:paraId="5EB9F68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傍河取水型</w:t>
            </w:r>
          </w:p>
        </w:tc>
        <w:tc>
          <w:tcPr>
            <w:tcW w:w="429" w:type="pct"/>
            <w:noWrap w:val="0"/>
            <w:vAlign w:val="center"/>
          </w:tcPr>
          <w:p w14:paraId="5D83DB2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正常</w:t>
            </w:r>
          </w:p>
        </w:tc>
        <w:tc>
          <w:tcPr>
            <w:tcW w:w="2843" w:type="pct"/>
            <w:noWrap w:val="0"/>
            <w:vAlign w:val="center"/>
          </w:tcPr>
          <w:p w14:paraId="52040B2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各监测因子除氨氮为Ⅲ类水质标准、总大肠菌群、耐热大肠菌群外，各监测因子均能达到Ⅰ类水质标准、《生活饮用水卫生标准》，总大肠菌群、耐热大肠菌群不能满足《生活饮用水卫生标准》。</w:t>
            </w:r>
          </w:p>
        </w:tc>
      </w:tr>
      <w:tr w14:paraId="3DC935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42" w:type="pct"/>
            <w:noWrap w:val="0"/>
            <w:vAlign w:val="center"/>
          </w:tcPr>
          <w:p w14:paraId="5B67FDA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w:t>
            </w:r>
          </w:p>
        </w:tc>
        <w:tc>
          <w:tcPr>
            <w:tcW w:w="329" w:type="pct"/>
            <w:vMerge w:val="continue"/>
            <w:noWrap w:val="0"/>
            <w:vAlign w:val="center"/>
          </w:tcPr>
          <w:p w14:paraId="34079A09">
            <w:pPr>
              <w:pStyle w:val="17"/>
              <w:kinsoku/>
              <w:wordWrap/>
              <w:topLinePunct w:val="0"/>
              <w:autoSpaceDE/>
              <w:autoSpaceDN/>
              <w:bidi w:val="0"/>
              <w:adjustRightInd/>
              <w:snapToGrid/>
              <w:textAlignment w:val="auto"/>
              <w:rPr>
                <w:rFonts w:hint="default" w:ascii="Times New Roman" w:hAnsi="Times New Roman" w:cs="Times New Roman"/>
              </w:rPr>
            </w:pPr>
          </w:p>
        </w:tc>
        <w:tc>
          <w:tcPr>
            <w:tcW w:w="599" w:type="pct"/>
            <w:noWrap w:val="0"/>
            <w:vAlign w:val="center"/>
          </w:tcPr>
          <w:p w14:paraId="2EBCBEA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荣斌水源</w:t>
            </w:r>
          </w:p>
        </w:tc>
        <w:tc>
          <w:tcPr>
            <w:tcW w:w="555" w:type="pct"/>
            <w:noWrap w:val="0"/>
            <w:vAlign w:val="center"/>
          </w:tcPr>
          <w:p w14:paraId="6474D8D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傍河取水型</w:t>
            </w:r>
          </w:p>
        </w:tc>
        <w:tc>
          <w:tcPr>
            <w:tcW w:w="429" w:type="pct"/>
            <w:noWrap w:val="0"/>
            <w:vAlign w:val="center"/>
          </w:tcPr>
          <w:p w14:paraId="04E0105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正常</w:t>
            </w:r>
          </w:p>
        </w:tc>
        <w:tc>
          <w:tcPr>
            <w:tcW w:w="2843" w:type="pct"/>
            <w:noWrap w:val="0"/>
            <w:vAlign w:val="center"/>
          </w:tcPr>
          <w:p w14:paraId="273CF53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各监测因子除氨氮为Ⅲ类水质标准、总大肠菌群、耐热大肠菌群外，各监测因子均能达到Ⅰ类水质标准、《生活饮用水卫生标准》，总大肠菌群、耐热大肠菌群不能满足《生活饮用水卫生标准》。</w:t>
            </w:r>
          </w:p>
        </w:tc>
      </w:tr>
      <w:tr w14:paraId="733C13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42" w:type="pct"/>
            <w:noWrap w:val="0"/>
            <w:vAlign w:val="center"/>
          </w:tcPr>
          <w:p w14:paraId="7A56018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21</w:t>
            </w:r>
          </w:p>
        </w:tc>
        <w:tc>
          <w:tcPr>
            <w:tcW w:w="329" w:type="pct"/>
            <w:noWrap w:val="0"/>
            <w:vAlign w:val="center"/>
          </w:tcPr>
          <w:p w14:paraId="75184F5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大石人镇</w:t>
            </w:r>
          </w:p>
        </w:tc>
        <w:tc>
          <w:tcPr>
            <w:tcW w:w="599" w:type="pct"/>
            <w:noWrap w:val="0"/>
            <w:vAlign w:val="center"/>
          </w:tcPr>
          <w:p w14:paraId="0297B17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红石村水源</w:t>
            </w:r>
          </w:p>
        </w:tc>
        <w:tc>
          <w:tcPr>
            <w:tcW w:w="555" w:type="pct"/>
            <w:noWrap w:val="0"/>
            <w:vAlign w:val="center"/>
          </w:tcPr>
          <w:p w14:paraId="724B36E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深水井型</w:t>
            </w:r>
          </w:p>
        </w:tc>
        <w:tc>
          <w:tcPr>
            <w:tcW w:w="429" w:type="pct"/>
            <w:noWrap w:val="0"/>
            <w:vAlign w:val="center"/>
          </w:tcPr>
          <w:p w14:paraId="3FC6EEF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正常</w:t>
            </w:r>
          </w:p>
        </w:tc>
        <w:tc>
          <w:tcPr>
            <w:tcW w:w="2843" w:type="pct"/>
            <w:noWrap w:val="0"/>
            <w:vAlign w:val="center"/>
          </w:tcPr>
          <w:p w14:paraId="3399686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除总硬度为Ⅱ类水质及总大肠菌群、耐热大肠菌群外，各监测因子均能达到Ⅰ类水质标准。其中耐热大肠菌群及总大肠菌群不满足《生活饮用水卫生标准》，菌群总数及大肠埃希氏菌，能够满足《生活饮用水卫生标准》。</w:t>
            </w:r>
          </w:p>
        </w:tc>
      </w:tr>
      <w:tr w14:paraId="380808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42" w:type="pct"/>
            <w:noWrap w:val="0"/>
            <w:vAlign w:val="center"/>
          </w:tcPr>
          <w:p w14:paraId="03AD770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22</w:t>
            </w:r>
          </w:p>
        </w:tc>
        <w:tc>
          <w:tcPr>
            <w:tcW w:w="329" w:type="pct"/>
            <w:vMerge w:val="restart"/>
            <w:noWrap w:val="0"/>
            <w:vAlign w:val="center"/>
          </w:tcPr>
          <w:p w14:paraId="5162310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城墙街道</w:t>
            </w:r>
          </w:p>
        </w:tc>
        <w:tc>
          <w:tcPr>
            <w:tcW w:w="599" w:type="pct"/>
            <w:noWrap w:val="0"/>
            <w:vAlign w:val="center"/>
          </w:tcPr>
          <w:p w14:paraId="04C54E9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爱林村水源</w:t>
            </w:r>
          </w:p>
        </w:tc>
        <w:tc>
          <w:tcPr>
            <w:tcW w:w="555" w:type="pct"/>
            <w:noWrap w:val="0"/>
            <w:vAlign w:val="center"/>
          </w:tcPr>
          <w:p w14:paraId="44AC770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傍河取水型</w:t>
            </w:r>
          </w:p>
        </w:tc>
        <w:tc>
          <w:tcPr>
            <w:tcW w:w="429" w:type="pct"/>
            <w:noWrap w:val="0"/>
            <w:vAlign w:val="center"/>
          </w:tcPr>
          <w:p w14:paraId="067133D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正常</w:t>
            </w:r>
          </w:p>
        </w:tc>
        <w:tc>
          <w:tcPr>
            <w:tcW w:w="2843" w:type="pct"/>
            <w:noWrap w:val="0"/>
            <w:vAlign w:val="center"/>
          </w:tcPr>
          <w:p w14:paraId="083DA40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各监测因子除氨氮为Ⅲ类水质标准、总大肠菌群、耐热大肠菌群外，各监测因子均能达到Ⅰ类水质标准、《生活饮用水卫生标准》，总大肠菌群、耐热大肠菌群不能满足《生活饮用水卫生标准》。</w:t>
            </w:r>
          </w:p>
        </w:tc>
      </w:tr>
      <w:tr w14:paraId="75B0DE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42" w:type="pct"/>
            <w:noWrap w:val="0"/>
            <w:vAlign w:val="center"/>
          </w:tcPr>
          <w:p w14:paraId="174B1BC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23</w:t>
            </w:r>
          </w:p>
        </w:tc>
        <w:tc>
          <w:tcPr>
            <w:tcW w:w="329" w:type="pct"/>
            <w:vMerge w:val="continue"/>
            <w:noWrap w:val="0"/>
            <w:vAlign w:val="center"/>
          </w:tcPr>
          <w:p w14:paraId="5E237067">
            <w:pPr>
              <w:pStyle w:val="17"/>
              <w:kinsoku/>
              <w:wordWrap/>
              <w:topLinePunct w:val="0"/>
              <w:autoSpaceDE/>
              <w:autoSpaceDN/>
              <w:bidi w:val="0"/>
              <w:adjustRightInd/>
              <w:snapToGrid/>
              <w:textAlignment w:val="auto"/>
              <w:rPr>
                <w:rFonts w:hint="default" w:ascii="Times New Roman" w:hAnsi="Times New Roman" w:cs="Times New Roman"/>
              </w:rPr>
            </w:pPr>
          </w:p>
        </w:tc>
        <w:tc>
          <w:tcPr>
            <w:tcW w:w="599" w:type="pct"/>
            <w:noWrap w:val="0"/>
            <w:vAlign w:val="center"/>
          </w:tcPr>
          <w:p w14:paraId="22EB7D7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七岔村水源</w:t>
            </w:r>
          </w:p>
        </w:tc>
        <w:tc>
          <w:tcPr>
            <w:tcW w:w="555" w:type="pct"/>
            <w:noWrap w:val="0"/>
            <w:vAlign w:val="center"/>
          </w:tcPr>
          <w:p w14:paraId="108A39D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傍河取水型</w:t>
            </w:r>
          </w:p>
        </w:tc>
        <w:tc>
          <w:tcPr>
            <w:tcW w:w="429" w:type="pct"/>
            <w:noWrap w:val="0"/>
            <w:vAlign w:val="center"/>
          </w:tcPr>
          <w:p w14:paraId="24E662A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正常</w:t>
            </w:r>
          </w:p>
        </w:tc>
        <w:tc>
          <w:tcPr>
            <w:tcW w:w="2843" w:type="pct"/>
            <w:noWrap w:val="0"/>
            <w:vAlign w:val="center"/>
          </w:tcPr>
          <w:p w14:paraId="404140C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各监测因子除氨氮为Ⅲ类水质标准、总大肠菌群、菌落群数及耐热大肠菌群外，各监测因子均能达到Ⅰ类水质标准、《生活饮用水卫生标准》，总大肠菌群、菌落群数及耐热大肠菌群不能满足《生活饮用水卫生标准》。</w:t>
            </w:r>
          </w:p>
        </w:tc>
      </w:tr>
    </w:tbl>
    <w:p w14:paraId="416B7857">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p>
    <w:p w14:paraId="180E287E">
      <w:pPr>
        <w:kinsoku/>
        <w:wordWrap/>
        <w:topLinePunct w:val="0"/>
        <w:autoSpaceDE/>
        <w:autoSpaceDN/>
        <w:bidi w:val="0"/>
        <w:adjustRightInd/>
        <w:snapToGrid/>
        <w:textAlignment w:val="auto"/>
        <w:rPr>
          <w:rFonts w:hint="default" w:ascii="Times New Roman" w:hAnsi="Times New Roman" w:cs="Times New Roman"/>
          <w:lang w:val="en-US" w:eastAsia="zh-CN"/>
        </w:rPr>
      </w:pPr>
      <w:r>
        <w:rPr>
          <w:rFonts w:hint="default" w:ascii="Times New Roman" w:hAnsi="Times New Roman" w:cs="Times New Roman"/>
        </w:rPr>
        <w:t>针对监测因子超标各饮用水源进行净化处理，并对保护区内污染源进行治理，监测达标后再进行供水</w:t>
      </w:r>
      <w:r>
        <w:rPr>
          <w:rFonts w:hint="default" w:ascii="Times New Roman" w:hAnsi="Times New Roman" w:cs="Times New Roman"/>
          <w:lang w:eastAsia="zh-CN"/>
        </w:rPr>
        <w:t>。</w:t>
      </w:r>
    </w:p>
    <w:p w14:paraId="718AEF02">
      <w:pPr>
        <w:pStyle w:val="4"/>
        <w:kinsoku/>
        <w:wordWrap/>
        <w:topLinePunct w:val="0"/>
        <w:autoSpaceDE/>
        <w:autoSpaceDN/>
        <w:bidi w:val="0"/>
        <w:adjustRightInd/>
        <w:snapToGrid/>
        <w:textAlignment w:val="auto"/>
        <w:rPr>
          <w:rFonts w:hint="default" w:ascii="Times New Roman" w:hAnsi="Times New Roman" w:cs="Times New Roman"/>
        </w:rPr>
      </w:pPr>
      <w:bookmarkStart w:id="26" w:name="_Toc20283"/>
      <w:r>
        <w:rPr>
          <w:rFonts w:hint="default" w:ascii="Times New Roman" w:hAnsi="Times New Roman" w:cs="Times New Roman"/>
        </w:rPr>
        <w:t>黑臭水体</w:t>
      </w:r>
      <w:bookmarkEnd w:id="25"/>
      <w:bookmarkEnd w:id="26"/>
    </w:p>
    <w:p w14:paraId="16E2951E">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据调查，江源区无城市黑臭水体。</w:t>
      </w:r>
    </w:p>
    <w:p w14:paraId="230F5147">
      <w:pPr>
        <w:pStyle w:val="3"/>
        <w:kinsoku/>
        <w:wordWrap/>
        <w:topLinePunct w:val="0"/>
        <w:autoSpaceDE/>
        <w:autoSpaceDN/>
        <w:bidi w:val="0"/>
        <w:adjustRightInd/>
        <w:snapToGrid/>
        <w:textAlignment w:val="auto"/>
        <w:rPr>
          <w:rFonts w:hint="default" w:ascii="Times New Roman" w:hAnsi="Times New Roman" w:cs="Times New Roman"/>
        </w:rPr>
        <w:sectPr>
          <w:pgSz w:w="16838" w:h="11906" w:orient="landscape"/>
          <w:pgMar w:top="1800" w:right="1440" w:bottom="1800" w:left="1440" w:header="851" w:footer="992" w:gutter="0"/>
          <w:pgNumType w:fmt="numberInDash"/>
          <w:cols w:space="0" w:num="1"/>
          <w:rtlGutter w:val="0"/>
          <w:docGrid w:type="lines" w:linePitch="332" w:charSpace="0"/>
        </w:sectPr>
      </w:pPr>
      <w:bookmarkStart w:id="27" w:name="_Toc82172406"/>
    </w:p>
    <w:p w14:paraId="078CFA89">
      <w:pPr>
        <w:pStyle w:val="3"/>
        <w:kinsoku/>
        <w:wordWrap/>
        <w:topLinePunct w:val="0"/>
        <w:autoSpaceDE/>
        <w:autoSpaceDN/>
        <w:bidi w:val="0"/>
        <w:adjustRightInd/>
        <w:snapToGrid/>
        <w:textAlignment w:val="auto"/>
        <w:rPr>
          <w:rFonts w:hint="default" w:ascii="Times New Roman" w:hAnsi="Times New Roman" w:cs="Times New Roman"/>
        </w:rPr>
      </w:pPr>
      <w:bookmarkStart w:id="28" w:name="_Toc1403"/>
      <w:r>
        <w:rPr>
          <w:rFonts w:hint="default" w:ascii="Times New Roman" w:hAnsi="Times New Roman" w:cs="Times New Roman"/>
        </w:rPr>
        <w:t>生态流量现状</w:t>
      </w:r>
      <w:bookmarkEnd w:id="27"/>
      <w:bookmarkEnd w:id="28"/>
    </w:p>
    <w:p w14:paraId="72D6D397">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（1）水电站情况：江源区原汪源电站由于电站拦河坝汛期严重阻水影响行洪，已于2012年拆除。</w:t>
      </w:r>
    </w:p>
    <w:p w14:paraId="419A46BF">
      <w:pPr>
        <w:kinsoku/>
        <w:wordWrap/>
        <w:topLinePunct w:val="0"/>
        <w:autoSpaceDE/>
        <w:autoSpaceDN/>
        <w:bidi w:val="0"/>
        <w:adjustRightInd/>
        <w:snapToGrid/>
        <w:textAlignment w:val="auto"/>
        <w:rPr>
          <w:rFonts w:hint="default" w:ascii="Times New Roman" w:hAnsi="Times New Roman" w:cs="Times New Roman"/>
          <w:lang w:eastAsia="zh-CN"/>
        </w:rPr>
      </w:pPr>
      <w:r>
        <w:rPr>
          <w:rFonts w:hint="default" w:ascii="Times New Roman" w:hAnsi="Times New Roman" w:cs="Times New Roman"/>
        </w:rPr>
        <w:t>吉林省白山市西北岔水利枢纽工程位于浑江一级支流西北岔河中游，距白山市江源区三岔子镇9公里。引水系统由压力管道与引水隧洞组成，引水隧洞为有压隧洞，设计引水流量为3.202立方米每秒，洞径为2.4米，进水口底板高程为674.5米</w:t>
      </w:r>
      <w:r>
        <w:rPr>
          <w:rFonts w:hint="default" w:ascii="Times New Roman" w:hAnsi="Times New Roman" w:cs="Times New Roman"/>
          <w:lang w:eastAsia="zh-CN"/>
        </w:rPr>
        <w:t>。</w:t>
      </w:r>
    </w:p>
    <w:p w14:paraId="462DC2EC">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水库情况：江源区现有水库5座，分别为：中型西北岔水利枢纽工程，该工程由市水务局管理；小（一）型水库1座为西川水库，该工程始建于1972年，由于建设年代久远无环评批复，现水库未进行正常蓄水，除为松树镇区居民生活供水外，其余水量流入</w:t>
      </w:r>
      <w:r>
        <w:rPr>
          <w:rFonts w:hint="eastAsia" w:cs="Times New Roman"/>
          <w:lang w:val="en-US" w:eastAsia="zh-CN"/>
        </w:rPr>
        <w:t>下游</w:t>
      </w:r>
      <w:r>
        <w:rPr>
          <w:rFonts w:hint="default" w:ascii="Times New Roman" w:hAnsi="Times New Roman" w:cs="Times New Roman"/>
        </w:rPr>
        <w:t>汤河，生态流量有保障。</w:t>
      </w:r>
    </w:p>
    <w:p w14:paraId="4D15FBFE">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湾林水库为小（二）型库，该水库始建于2002年由湾沟林业局建设，主要为下游湾沟林业局居民供水。该水库于2015年进行除险加固，2018年由“三供一业”移交我局管理，现正在建设水库扩容工程建设，有环评，待批复。工程计划于2021年未完工。水库设计为开敞式溢洪道，预留生态流量，有保障。</w:t>
      </w:r>
    </w:p>
    <w:p w14:paraId="59D13137">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黑松水库为小（二）型水库，水库原管理权为湾沟林业局，为湾沟林业局供水储备水源。工程始建于1974年，由于建设年代久远无环评批复。2015年对该水库进行除险加固。该水库为开敞式溢洪道，河道天然来水量全部流入下游小黑松河，生态流量有保障。</w:t>
      </w:r>
    </w:p>
    <w:p w14:paraId="41F93F59">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跃进水库为小（二）型水库，该水库由城墙街道管理。2015年对其进行了除险加固。由于该水库始建于1971年，无环评批复，设计库容小，且建设年代久远，水库淤积严重，经设计勘测部门论证，该水库库容已达不到小（二）型水库标准，申请对该水库进行降等，现已批复。该水库也为开敞式溢洪道，流域来水经水库流入下游河道，生态流量有保证。</w:t>
      </w:r>
    </w:p>
    <w:p w14:paraId="434DE1DE">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境内河流其他断流情况：江源区境内现有河道130余条，由于部分小河由于地质岩层问题，存在分河段季节性断流情况。另由于江源区地处浑江、汤河流域上游，也有部分小河流存在冬季枯水期断流的问题。</w:t>
      </w:r>
    </w:p>
    <w:p w14:paraId="7474A4D0">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综上，江源区存在季节性断流河流，未有因水库、水电站建设发生河流断流现象。</w:t>
      </w:r>
    </w:p>
    <w:p w14:paraId="15362465">
      <w:pPr>
        <w:pStyle w:val="3"/>
        <w:kinsoku/>
        <w:wordWrap/>
        <w:topLinePunct w:val="0"/>
        <w:autoSpaceDE/>
        <w:autoSpaceDN/>
        <w:bidi w:val="0"/>
        <w:adjustRightInd/>
        <w:snapToGrid/>
        <w:textAlignment w:val="auto"/>
        <w:rPr>
          <w:rFonts w:hint="default" w:ascii="Times New Roman" w:hAnsi="Times New Roman" w:cs="Times New Roman"/>
        </w:rPr>
      </w:pPr>
      <w:bookmarkStart w:id="29" w:name="_Toc20949"/>
      <w:bookmarkStart w:id="30" w:name="_Toc82172407"/>
      <w:r>
        <w:rPr>
          <w:rFonts w:hint="default" w:ascii="Times New Roman" w:hAnsi="Times New Roman" w:cs="Times New Roman"/>
        </w:rPr>
        <w:t>水生态现状</w:t>
      </w:r>
      <w:bookmarkEnd w:id="29"/>
      <w:bookmarkEnd w:id="30"/>
    </w:p>
    <w:p w14:paraId="1935453B">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江源区目前无省级及国家级湿地公园及湿地保护区。</w:t>
      </w:r>
    </w:p>
    <w:p w14:paraId="397ED675">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据调查，白山市水生昆虫共166种，隶属于7目40科86属。其中浑江有48种，松花江的松江河69种，漫江62种。江源区地处浑江上游及头道松花江的支流汤河上游。</w:t>
      </w:r>
    </w:p>
    <w:p w14:paraId="0BF48222">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根据近年来调查，白山市鱼类的种类组成及数量分布上，头道白河有鱼类14种，二道白河有鱼类7种。松江河仅觅有3种，且数量也较少。</w:t>
      </w:r>
      <w:r>
        <w:rPr>
          <w:rFonts w:hint="eastAsia" w:cs="Times New Roman"/>
          <w:lang w:eastAsia="zh-CN"/>
        </w:rPr>
        <w:t>YLJ</w:t>
      </w:r>
      <w:r>
        <w:rPr>
          <w:rFonts w:hint="default" w:ascii="Times New Roman" w:hAnsi="Times New Roman" w:cs="Times New Roman"/>
        </w:rPr>
        <w:t>有9种。白山市当地土著鱼类共有9种，其中1种于1990年已经消失，现有8种。柳根鱼、细鳞鲑鱼位于靖宇县头道松花江，在海岛电站坝下汇水范围；哲罗鲑于1990年已经消失，原位于抚松县松花江，在白龙湾汇水范围；花在父鱼位于浑江区</w:t>
      </w:r>
      <w:r>
        <w:rPr>
          <w:rFonts w:hint="eastAsia" w:cs="Times New Roman"/>
          <w:lang w:eastAsia="zh-CN"/>
        </w:rPr>
        <w:t>YLJ流域</w:t>
      </w:r>
      <w:r>
        <w:rPr>
          <w:rFonts w:hint="default" w:ascii="Times New Roman" w:hAnsi="Times New Roman" w:cs="Times New Roman"/>
        </w:rPr>
        <w:t>，在浑江区西村汇水范围；花羔红点鲑、细鳞鱼、</w:t>
      </w:r>
      <w:r>
        <w:rPr>
          <w:rFonts w:hint="eastAsia" w:cs="Times New Roman"/>
          <w:lang w:eastAsia="zh-CN"/>
        </w:rPr>
        <w:t>YLJ</w:t>
      </w:r>
      <w:r>
        <w:rPr>
          <w:rFonts w:hint="default" w:ascii="Times New Roman" w:hAnsi="Times New Roman" w:cs="Times New Roman"/>
        </w:rPr>
        <w:t>茴鱼、哲罗鲑、虹鳟位于临江市</w:t>
      </w:r>
      <w:r>
        <w:rPr>
          <w:rFonts w:hint="eastAsia" w:cs="Times New Roman"/>
          <w:lang w:eastAsia="zh-CN"/>
        </w:rPr>
        <w:t>YLJ</w:t>
      </w:r>
      <w:r>
        <w:rPr>
          <w:rFonts w:hint="default" w:ascii="Times New Roman" w:hAnsi="Times New Roman" w:cs="Times New Roman"/>
        </w:rPr>
        <w:t>，在</w:t>
      </w:r>
      <w:r>
        <w:rPr>
          <w:rFonts w:hint="eastAsia" w:cs="Times New Roman"/>
          <w:lang w:eastAsia="zh-CN"/>
        </w:rPr>
        <w:t>YLJ</w:t>
      </w:r>
      <w:r>
        <w:rPr>
          <w:rFonts w:hint="default" w:ascii="Times New Roman" w:hAnsi="Times New Roman" w:cs="Times New Roman"/>
        </w:rPr>
        <w:t>葫芦套、云峰汇水范围。</w:t>
      </w:r>
    </w:p>
    <w:p w14:paraId="14D9C74F">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两栖类动物的调查较少，仅在一些历史文献中有记载。已知有两栖爬行动物3目8科14属20种，其中两栖纲9种，隶属2目5科6属。中国林蛙、无斑雨蛙等为该区的优势种类。</w:t>
      </w:r>
    </w:p>
    <w:p w14:paraId="0E90D626">
      <w:pPr>
        <w:pStyle w:val="3"/>
        <w:kinsoku/>
        <w:wordWrap/>
        <w:topLinePunct w:val="0"/>
        <w:autoSpaceDE/>
        <w:autoSpaceDN/>
        <w:bidi w:val="0"/>
        <w:adjustRightInd/>
        <w:snapToGrid/>
        <w:textAlignment w:val="auto"/>
        <w:rPr>
          <w:rFonts w:hint="default" w:ascii="Times New Roman" w:hAnsi="Times New Roman" w:cs="Times New Roman"/>
        </w:rPr>
      </w:pPr>
      <w:bookmarkStart w:id="31" w:name="_Toc82172408"/>
      <w:bookmarkStart w:id="32" w:name="_Toc10730"/>
      <w:r>
        <w:rPr>
          <w:rFonts w:hint="default" w:ascii="Times New Roman" w:hAnsi="Times New Roman" w:cs="Times New Roman"/>
        </w:rPr>
        <w:t>水污染物排放状况</w:t>
      </w:r>
      <w:bookmarkEnd w:id="31"/>
      <w:bookmarkEnd w:id="32"/>
    </w:p>
    <w:p w14:paraId="0E457E87">
      <w:pPr>
        <w:pStyle w:val="4"/>
        <w:kinsoku/>
        <w:wordWrap/>
        <w:topLinePunct w:val="0"/>
        <w:autoSpaceDE/>
        <w:autoSpaceDN/>
        <w:bidi w:val="0"/>
        <w:adjustRightInd/>
        <w:snapToGrid/>
        <w:textAlignment w:val="auto"/>
        <w:rPr>
          <w:rFonts w:hint="default" w:ascii="Times New Roman" w:hAnsi="Times New Roman" w:cs="Times New Roman"/>
        </w:rPr>
      </w:pPr>
      <w:bookmarkStart w:id="33" w:name="_Toc82172409"/>
      <w:bookmarkStart w:id="34" w:name="_Toc30636"/>
      <w:r>
        <w:rPr>
          <w:rFonts w:hint="default" w:ascii="Times New Roman" w:hAnsi="Times New Roman" w:cs="Times New Roman"/>
        </w:rPr>
        <w:t>污水排放量</w:t>
      </w:r>
      <w:bookmarkEnd w:id="33"/>
      <w:bookmarkEnd w:id="34"/>
    </w:p>
    <w:p w14:paraId="1D8CAC01">
      <w:pPr>
        <w:kinsoku/>
        <w:wordWrap/>
        <w:topLinePunct w:val="0"/>
        <w:autoSpaceDE/>
        <w:autoSpaceDN/>
        <w:bidi w:val="0"/>
        <w:adjustRightInd/>
        <w:snapToGrid/>
        <w:textAlignment w:val="auto"/>
        <w:rPr>
          <w:rFonts w:hint="default" w:ascii="Times New Roman" w:hAnsi="Times New Roman" w:cs="Times New Roman"/>
        </w:rPr>
        <w:sectPr>
          <w:pgSz w:w="11906" w:h="16838"/>
          <w:pgMar w:top="1440" w:right="1800" w:bottom="1440" w:left="1800" w:header="851" w:footer="992" w:gutter="0"/>
          <w:pgNumType w:fmt="numberInDash"/>
          <w:cols w:space="0" w:num="1"/>
          <w:rtlGutter w:val="0"/>
          <w:docGrid w:type="lines" w:linePitch="332" w:charSpace="0"/>
        </w:sectPr>
      </w:pPr>
      <w:r>
        <w:rPr>
          <w:rFonts w:hint="default" w:ascii="Times New Roman" w:hAnsi="Times New Roman" w:cs="Times New Roman"/>
        </w:rPr>
        <w:t>自2015年至2019年，江源区废水排放总量在813.48万吨至1311.1万吨，2019年废水排放总量812.48万吨，其中工业源废水排放量23.83万吨，生活源废水排放量785.08万吨，集中式废水排放量4.57万吨，生活源废水排放量占比最大，高达96.51%。详见下表。</w:t>
      </w:r>
    </w:p>
    <w:p w14:paraId="5EEA9989">
      <w:pPr>
        <w:pStyle w:val="16"/>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1-10</w:t>
      </w:r>
      <w:r>
        <w:rPr>
          <w:rFonts w:hint="default" w:ascii="Times New Roman" w:hAnsi="Times New Roman" w:cs="Times New Roman"/>
        </w:rPr>
        <w:t>江源区废水排放总量</w:t>
      </w:r>
    </w:p>
    <w:tbl>
      <w:tblPr>
        <w:tblStyle w:val="13"/>
        <w:tblW w:w="4999" w:type="pct"/>
        <w:jc w:val="center"/>
        <w:tblLayout w:type="autofit"/>
        <w:tblCellMar>
          <w:top w:w="0" w:type="dxa"/>
          <w:left w:w="0" w:type="dxa"/>
          <w:bottom w:w="0" w:type="dxa"/>
          <w:right w:w="0" w:type="dxa"/>
        </w:tblCellMar>
      </w:tblPr>
      <w:tblGrid>
        <w:gridCol w:w="2797"/>
        <w:gridCol w:w="1130"/>
        <w:gridCol w:w="1130"/>
        <w:gridCol w:w="1130"/>
        <w:gridCol w:w="1130"/>
        <w:gridCol w:w="1141"/>
      </w:tblGrid>
      <w:tr w14:paraId="7C2FBC27">
        <w:tblPrEx>
          <w:tblCellMar>
            <w:top w:w="0" w:type="dxa"/>
            <w:left w:w="0" w:type="dxa"/>
            <w:bottom w:w="0" w:type="dxa"/>
            <w:right w:w="0" w:type="dxa"/>
          </w:tblCellMar>
        </w:tblPrEx>
        <w:trPr>
          <w:trHeight w:val="20" w:hRule="atLeast"/>
          <w:jc w:val="center"/>
        </w:trPr>
        <w:tc>
          <w:tcPr>
            <w:tcW w:w="1653" w:type="pct"/>
            <w:vMerge w:val="restart"/>
            <w:tcBorders>
              <w:top w:val="single" w:color="000000" w:sz="8" w:space="0"/>
              <w:left w:val="single" w:color="000000" w:sz="8" w:space="0"/>
              <w:bottom w:val="single" w:color="000000" w:sz="8" w:space="0"/>
              <w:right w:val="single" w:color="000000" w:sz="8" w:space="0"/>
            </w:tcBorders>
            <w:noWrap w:val="0"/>
            <w:vAlign w:val="center"/>
          </w:tcPr>
          <w:p w14:paraId="6C2B446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行政区划名称</w:t>
            </w:r>
          </w:p>
        </w:tc>
        <w:tc>
          <w:tcPr>
            <w:tcW w:w="3346" w:type="pct"/>
            <w:gridSpan w:val="5"/>
            <w:tcBorders>
              <w:top w:val="single" w:color="000000" w:sz="8" w:space="0"/>
              <w:left w:val="single" w:color="000000" w:sz="8" w:space="0"/>
              <w:bottom w:val="single" w:color="000000" w:sz="8" w:space="0"/>
              <w:right w:val="single" w:color="000000" w:sz="8" w:space="0"/>
            </w:tcBorders>
            <w:noWrap w:val="0"/>
            <w:tcMar>
              <w:top w:w="72" w:type="dxa"/>
              <w:left w:w="144" w:type="dxa"/>
              <w:bottom w:w="72" w:type="dxa"/>
              <w:right w:w="144" w:type="dxa"/>
            </w:tcMar>
            <w:vAlign w:val="center"/>
          </w:tcPr>
          <w:p w14:paraId="0A1917A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废水排放总量（万吨）</w:t>
            </w:r>
          </w:p>
        </w:tc>
      </w:tr>
      <w:tr w14:paraId="2D251964">
        <w:tblPrEx>
          <w:tblCellMar>
            <w:top w:w="0" w:type="dxa"/>
            <w:left w:w="0" w:type="dxa"/>
            <w:bottom w:w="0" w:type="dxa"/>
            <w:right w:w="0" w:type="dxa"/>
          </w:tblCellMar>
        </w:tblPrEx>
        <w:trPr>
          <w:trHeight w:val="20" w:hRule="atLeast"/>
          <w:jc w:val="center"/>
        </w:trPr>
        <w:tc>
          <w:tcPr>
            <w:tcW w:w="1653" w:type="pct"/>
            <w:vMerge w:val="continue"/>
            <w:tcBorders>
              <w:top w:val="single" w:color="000000" w:sz="8" w:space="0"/>
              <w:left w:val="single" w:color="000000" w:sz="8" w:space="0"/>
              <w:bottom w:val="single" w:color="000000" w:sz="8" w:space="0"/>
              <w:right w:val="single" w:color="000000" w:sz="8" w:space="0"/>
            </w:tcBorders>
            <w:noWrap w:val="0"/>
            <w:vAlign w:val="center"/>
          </w:tcPr>
          <w:p w14:paraId="6D5AE9F9">
            <w:pPr>
              <w:pStyle w:val="17"/>
              <w:kinsoku/>
              <w:wordWrap/>
              <w:topLinePunct w:val="0"/>
              <w:autoSpaceDE/>
              <w:autoSpaceDN/>
              <w:bidi w:val="0"/>
              <w:adjustRightInd/>
              <w:snapToGrid/>
              <w:textAlignment w:val="auto"/>
              <w:rPr>
                <w:rFonts w:hint="default" w:ascii="Times New Roman" w:hAnsi="Times New Roman" w:cs="Times New Roman"/>
              </w:rPr>
            </w:pPr>
          </w:p>
        </w:tc>
        <w:tc>
          <w:tcPr>
            <w:tcW w:w="668" w:type="pct"/>
            <w:tcBorders>
              <w:top w:val="single" w:color="000000" w:sz="8" w:space="0"/>
              <w:left w:val="single" w:color="000000" w:sz="8" w:space="0"/>
              <w:bottom w:val="single" w:color="000000" w:sz="8" w:space="0"/>
              <w:right w:val="single" w:color="000000" w:sz="8" w:space="0"/>
            </w:tcBorders>
            <w:noWrap w:val="0"/>
            <w:tcMar>
              <w:top w:w="7" w:type="dxa"/>
              <w:left w:w="7" w:type="dxa"/>
              <w:bottom w:w="0" w:type="dxa"/>
              <w:right w:w="7" w:type="dxa"/>
            </w:tcMar>
            <w:vAlign w:val="center"/>
          </w:tcPr>
          <w:p w14:paraId="72FC739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2015年</w:t>
            </w:r>
          </w:p>
        </w:tc>
        <w:tc>
          <w:tcPr>
            <w:tcW w:w="668" w:type="pct"/>
            <w:tcBorders>
              <w:top w:val="single" w:color="000000" w:sz="8" w:space="0"/>
              <w:left w:val="single" w:color="000000" w:sz="8" w:space="0"/>
              <w:bottom w:val="single" w:color="000000" w:sz="8" w:space="0"/>
              <w:right w:val="single" w:color="000000" w:sz="8" w:space="0"/>
            </w:tcBorders>
            <w:noWrap w:val="0"/>
            <w:tcMar>
              <w:top w:w="7" w:type="dxa"/>
              <w:left w:w="7" w:type="dxa"/>
              <w:bottom w:w="0" w:type="dxa"/>
              <w:right w:w="7" w:type="dxa"/>
            </w:tcMar>
            <w:vAlign w:val="center"/>
          </w:tcPr>
          <w:p w14:paraId="17E8199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2016年</w:t>
            </w:r>
          </w:p>
        </w:tc>
        <w:tc>
          <w:tcPr>
            <w:tcW w:w="668" w:type="pct"/>
            <w:tcBorders>
              <w:top w:val="single" w:color="000000" w:sz="8" w:space="0"/>
              <w:left w:val="single" w:color="000000" w:sz="8" w:space="0"/>
              <w:bottom w:val="single" w:color="000000" w:sz="8" w:space="0"/>
              <w:right w:val="single" w:color="000000" w:sz="8" w:space="0"/>
            </w:tcBorders>
            <w:noWrap w:val="0"/>
            <w:tcMar>
              <w:top w:w="7" w:type="dxa"/>
              <w:left w:w="7" w:type="dxa"/>
              <w:bottom w:w="0" w:type="dxa"/>
              <w:right w:w="7" w:type="dxa"/>
            </w:tcMar>
            <w:vAlign w:val="center"/>
          </w:tcPr>
          <w:p w14:paraId="587B76E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2017年</w:t>
            </w:r>
          </w:p>
        </w:tc>
        <w:tc>
          <w:tcPr>
            <w:tcW w:w="668" w:type="pct"/>
            <w:tcBorders>
              <w:top w:val="single" w:color="000000" w:sz="8" w:space="0"/>
              <w:left w:val="single" w:color="000000" w:sz="8" w:space="0"/>
              <w:bottom w:val="single" w:color="000000" w:sz="8" w:space="0"/>
              <w:right w:val="single" w:color="000000" w:sz="8" w:space="0"/>
            </w:tcBorders>
            <w:noWrap w:val="0"/>
            <w:tcMar>
              <w:top w:w="7" w:type="dxa"/>
              <w:left w:w="7" w:type="dxa"/>
              <w:bottom w:w="0" w:type="dxa"/>
              <w:right w:w="7" w:type="dxa"/>
            </w:tcMar>
            <w:vAlign w:val="center"/>
          </w:tcPr>
          <w:p w14:paraId="087C92B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2018年</w:t>
            </w:r>
          </w:p>
        </w:tc>
        <w:tc>
          <w:tcPr>
            <w:tcW w:w="673" w:type="pct"/>
            <w:tcBorders>
              <w:top w:val="single" w:color="000000" w:sz="8" w:space="0"/>
              <w:left w:val="single" w:color="000000" w:sz="8" w:space="0"/>
              <w:bottom w:val="single" w:color="000000" w:sz="8" w:space="0"/>
              <w:right w:val="single" w:color="000000" w:sz="8" w:space="0"/>
            </w:tcBorders>
            <w:noWrap w:val="0"/>
            <w:tcMar>
              <w:top w:w="7" w:type="dxa"/>
              <w:left w:w="7" w:type="dxa"/>
              <w:bottom w:w="0" w:type="dxa"/>
              <w:right w:w="7" w:type="dxa"/>
            </w:tcMar>
            <w:vAlign w:val="center"/>
          </w:tcPr>
          <w:p w14:paraId="3EEEB89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2019年</w:t>
            </w:r>
          </w:p>
        </w:tc>
      </w:tr>
      <w:tr w14:paraId="1411AFE6">
        <w:tblPrEx>
          <w:tblCellMar>
            <w:top w:w="0" w:type="dxa"/>
            <w:left w:w="0" w:type="dxa"/>
            <w:bottom w:w="0" w:type="dxa"/>
            <w:right w:w="0" w:type="dxa"/>
          </w:tblCellMar>
        </w:tblPrEx>
        <w:trPr>
          <w:trHeight w:val="20" w:hRule="atLeast"/>
          <w:jc w:val="center"/>
        </w:trPr>
        <w:tc>
          <w:tcPr>
            <w:tcW w:w="1653" w:type="pct"/>
            <w:tcBorders>
              <w:top w:val="single" w:color="000000" w:sz="8" w:space="0"/>
              <w:left w:val="single" w:color="000000" w:sz="8" w:space="0"/>
              <w:bottom w:val="single" w:color="000000" w:sz="8" w:space="0"/>
              <w:right w:val="single" w:color="000000" w:sz="8" w:space="0"/>
            </w:tcBorders>
            <w:noWrap w:val="0"/>
            <w:tcMar>
              <w:top w:w="7" w:type="dxa"/>
              <w:left w:w="7" w:type="dxa"/>
              <w:bottom w:w="0" w:type="dxa"/>
              <w:right w:w="7" w:type="dxa"/>
            </w:tcMar>
            <w:vAlign w:val="center"/>
          </w:tcPr>
          <w:p w14:paraId="011AD8B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废水排放总量（万吨）</w:t>
            </w:r>
          </w:p>
        </w:tc>
        <w:tc>
          <w:tcPr>
            <w:tcW w:w="668"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14:paraId="618ABC4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1311.10</w:t>
            </w:r>
          </w:p>
        </w:tc>
        <w:tc>
          <w:tcPr>
            <w:tcW w:w="668" w:type="pct"/>
            <w:tcBorders>
              <w:top w:val="single" w:color="000000" w:sz="8" w:space="0"/>
              <w:left w:val="single" w:color="000000" w:sz="8" w:space="0"/>
              <w:bottom w:val="single" w:color="000000" w:sz="8" w:space="0"/>
              <w:right w:val="single" w:color="000000" w:sz="8" w:space="0"/>
            </w:tcBorders>
            <w:noWrap w:val="0"/>
            <w:tcMar>
              <w:top w:w="7" w:type="dxa"/>
              <w:left w:w="7" w:type="dxa"/>
              <w:bottom w:w="0" w:type="dxa"/>
              <w:right w:w="7" w:type="dxa"/>
            </w:tcMar>
            <w:vAlign w:val="center"/>
          </w:tcPr>
          <w:p w14:paraId="53F7159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864.32</w:t>
            </w:r>
          </w:p>
        </w:tc>
        <w:tc>
          <w:tcPr>
            <w:tcW w:w="668" w:type="pct"/>
            <w:tcBorders>
              <w:top w:val="single" w:color="000000" w:sz="8" w:space="0"/>
              <w:left w:val="single" w:color="000000" w:sz="8" w:space="0"/>
              <w:bottom w:val="single" w:color="000000" w:sz="8" w:space="0"/>
              <w:right w:val="single" w:color="000000" w:sz="8" w:space="0"/>
            </w:tcBorders>
            <w:noWrap w:val="0"/>
            <w:tcMar>
              <w:top w:w="7" w:type="dxa"/>
              <w:left w:w="7" w:type="dxa"/>
              <w:bottom w:w="0" w:type="dxa"/>
              <w:right w:w="7" w:type="dxa"/>
            </w:tcMar>
            <w:vAlign w:val="center"/>
          </w:tcPr>
          <w:p w14:paraId="295404F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829.19</w:t>
            </w:r>
          </w:p>
        </w:tc>
        <w:tc>
          <w:tcPr>
            <w:tcW w:w="668" w:type="pct"/>
            <w:tcBorders>
              <w:top w:val="single" w:color="000000" w:sz="8" w:space="0"/>
              <w:left w:val="single" w:color="000000" w:sz="8" w:space="0"/>
              <w:bottom w:val="single" w:color="000000" w:sz="8" w:space="0"/>
              <w:right w:val="single" w:color="000000" w:sz="8" w:space="0"/>
            </w:tcBorders>
            <w:noWrap w:val="0"/>
            <w:tcMar>
              <w:top w:w="7" w:type="dxa"/>
              <w:left w:w="7" w:type="dxa"/>
              <w:bottom w:w="0" w:type="dxa"/>
              <w:right w:w="7" w:type="dxa"/>
            </w:tcMar>
            <w:vAlign w:val="center"/>
          </w:tcPr>
          <w:p w14:paraId="7566BC6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814.55</w:t>
            </w:r>
          </w:p>
        </w:tc>
        <w:tc>
          <w:tcPr>
            <w:tcW w:w="673" w:type="pct"/>
            <w:tcBorders>
              <w:top w:val="single" w:color="000000" w:sz="8" w:space="0"/>
              <w:left w:val="single" w:color="000000" w:sz="8" w:space="0"/>
              <w:bottom w:val="single" w:color="000000" w:sz="8" w:space="0"/>
              <w:right w:val="single" w:color="000000" w:sz="8" w:space="0"/>
            </w:tcBorders>
            <w:noWrap w:val="0"/>
            <w:tcMar>
              <w:top w:w="7" w:type="dxa"/>
              <w:left w:w="7" w:type="dxa"/>
              <w:bottom w:w="0" w:type="dxa"/>
              <w:right w:w="7" w:type="dxa"/>
            </w:tcMar>
            <w:vAlign w:val="center"/>
          </w:tcPr>
          <w:p w14:paraId="1B7FDAD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813.48</w:t>
            </w:r>
          </w:p>
        </w:tc>
      </w:tr>
      <w:tr w14:paraId="611DC4C0">
        <w:tblPrEx>
          <w:tblCellMar>
            <w:top w:w="0" w:type="dxa"/>
            <w:left w:w="0" w:type="dxa"/>
            <w:bottom w:w="0" w:type="dxa"/>
            <w:right w:w="0" w:type="dxa"/>
          </w:tblCellMar>
        </w:tblPrEx>
        <w:trPr>
          <w:trHeight w:val="20" w:hRule="atLeast"/>
          <w:jc w:val="center"/>
        </w:trPr>
        <w:tc>
          <w:tcPr>
            <w:tcW w:w="1653" w:type="pct"/>
            <w:tcBorders>
              <w:top w:val="single" w:color="000000" w:sz="8" w:space="0"/>
              <w:left w:val="single" w:color="000000" w:sz="8" w:space="0"/>
              <w:bottom w:val="single" w:color="000000" w:sz="8" w:space="0"/>
              <w:right w:val="single" w:color="000000" w:sz="8" w:space="0"/>
            </w:tcBorders>
            <w:noWrap w:val="0"/>
            <w:tcMar>
              <w:top w:w="7" w:type="dxa"/>
              <w:left w:w="7" w:type="dxa"/>
              <w:bottom w:w="0" w:type="dxa"/>
              <w:right w:w="7" w:type="dxa"/>
            </w:tcMar>
            <w:vAlign w:val="center"/>
          </w:tcPr>
          <w:p w14:paraId="2FC546F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工业源废水排放量（万吨）</w:t>
            </w:r>
          </w:p>
        </w:tc>
        <w:tc>
          <w:tcPr>
            <w:tcW w:w="668"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14:paraId="205AB25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142.15</w:t>
            </w:r>
          </w:p>
        </w:tc>
        <w:tc>
          <w:tcPr>
            <w:tcW w:w="668" w:type="pct"/>
            <w:tcBorders>
              <w:top w:val="single" w:color="000000" w:sz="8" w:space="0"/>
              <w:left w:val="single" w:color="000000" w:sz="8" w:space="0"/>
              <w:bottom w:val="single" w:color="000000" w:sz="8" w:space="0"/>
              <w:right w:val="single" w:color="000000" w:sz="8" w:space="0"/>
            </w:tcBorders>
            <w:noWrap w:val="0"/>
            <w:tcMar>
              <w:top w:w="7" w:type="dxa"/>
              <w:left w:w="7" w:type="dxa"/>
              <w:bottom w:w="0" w:type="dxa"/>
              <w:right w:w="7" w:type="dxa"/>
            </w:tcMar>
            <w:vAlign w:val="center"/>
          </w:tcPr>
          <w:p w14:paraId="3572198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56.28</w:t>
            </w:r>
          </w:p>
        </w:tc>
        <w:tc>
          <w:tcPr>
            <w:tcW w:w="668" w:type="pct"/>
            <w:tcBorders>
              <w:top w:val="single" w:color="000000" w:sz="8" w:space="0"/>
              <w:left w:val="single" w:color="000000" w:sz="8" w:space="0"/>
              <w:bottom w:val="single" w:color="000000" w:sz="8" w:space="0"/>
              <w:right w:val="single" w:color="000000" w:sz="8" w:space="0"/>
            </w:tcBorders>
            <w:noWrap w:val="0"/>
            <w:tcMar>
              <w:top w:w="7" w:type="dxa"/>
              <w:left w:w="7" w:type="dxa"/>
              <w:bottom w:w="0" w:type="dxa"/>
              <w:right w:w="7" w:type="dxa"/>
            </w:tcMar>
            <w:vAlign w:val="center"/>
          </w:tcPr>
          <w:p w14:paraId="2212266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24.17</w:t>
            </w:r>
          </w:p>
        </w:tc>
        <w:tc>
          <w:tcPr>
            <w:tcW w:w="668" w:type="pct"/>
            <w:tcBorders>
              <w:top w:val="single" w:color="000000" w:sz="8" w:space="0"/>
              <w:left w:val="single" w:color="000000" w:sz="8" w:space="0"/>
              <w:bottom w:val="single" w:color="000000" w:sz="8" w:space="0"/>
              <w:right w:val="single" w:color="000000" w:sz="8" w:space="0"/>
            </w:tcBorders>
            <w:noWrap w:val="0"/>
            <w:tcMar>
              <w:top w:w="7" w:type="dxa"/>
              <w:left w:w="7" w:type="dxa"/>
              <w:bottom w:w="0" w:type="dxa"/>
              <w:right w:w="7" w:type="dxa"/>
            </w:tcMar>
            <w:vAlign w:val="center"/>
          </w:tcPr>
          <w:p w14:paraId="44967FE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24.53</w:t>
            </w:r>
          </w:p>
        </w:tc>
        <w:tc>
          <w:tcPr>
            <w:tcW w:w="673" w:type="pct"/>
            <w:tcBorders>
              <w:top w:val="single" w:color="000000" w:sz="8" w:space="0"/>
              <w:left w:val="single" w:color="000000" w:sz="8" w:space="0"/>
              <w:bottom w:val="single" w:color="000000" w:sz="8" w:space="0"/>
              <w:right w:val="single" w:color="000000" w:sz="8" w:space="0"/>
            </w:tcBorders>
            <w:noWrap w:val="0"/>
            <w:tcMar>
              <w:top w:w="7" w:type="dxa"/>
              <w:left w:w="7" w:type="dxa"/>
              <w:bottom w:w="0" w:type="dxa"/>
              <w:right w:w="7" w:type="dxa"/>
            </w:tcMar>
            <w:vAlign w:val="center"/>
          </w:tcPr>
          <w:p w14:paraId="5F2C603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23.83</w:t>
            </w:r>
          </w:p>
        </w:tc>
      </w:tr>
      <w:tr w14:paraId="38E9E4B2">
        <w:tblPrEx>
          <w:tblCellMar>
            <w:top w:w="0" w:type="dxa"/>
            <w:left w:w="0" w:type="dxa"/>
            <w:bottom w:w="0" w:type="dxa"/>
            <w:right w:w="0" w:type="dxa"/>
          </w:tblCellMar>
        </w:tblPrEx>
        <w:trPr>
          <w:trHeight w:val="20" w:hRule="atLeast"/>
          <w:jc w:val="center"/>
        </w:trPr>
        <w:tc>
          <w:tcPr>
            <w:tcW w:w="1653" w:type="pct"/>
            <w:tcBorders>
              <w:top w:val="single" w:color="000000" w:sz="8" w:space="0"/>
              <w:left w:val="single" w:color="000000" w:sz="8" w:space="0"/>
              <w:bottom w:val="single" w:color="000000" w:sz="8" w:space="0"/>
              <w:right w:val="single" w:color="000000" w:sz="8" w:space="0"/>
            </w:tcBorders>
            <w:noWrap w:val="0"/>
            <w:tcMar>
              <w:top w:w="7" w:type="dxa"/>
              <w:left w:w="7" w:type="dxa"/>
              <w:bottom w:w="0" w:type="dxa"/>
              <w:right w:w="7" w:type="dxa"/>
            </w:tcMar>
            <w:vAlign w:val="center"/>
          </w:tcPr>
          <w:p w14:paraId="31BB9FD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生活源废水排放量（万吨）</w:t>
            </w:r>
          </w:p>
        </w:tc>
        <w:tc>
          <w:tcPr>
            <w:tcW w:w="668"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14:paraId="510A6E7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1167.80</w:t>
            </w:r>
          </w:p>
        </w:tc>
        <w:tc>
          <w:tcPr>
            <w:tcW w:w="668" w:type="pct"/>
            <w:tcBorders>
              <w:top w:val="single" w:color="000000" w:sz="8" w:space="0"/>
              <w:left w:val="single" w:color="000000" w:sz="8" w:space="0"/>
              <w:bottom w:val="single" w:color="000000" w:sz="8" w:space="0"/>
              <w:right w:val="single" w:color="000000" w:sz="8" w:space="0"/>
            </w:tcBorders>
            <w:noWrap w:val="0"/>
            <w:tcMar>
              <w:top w:w="7" w:type="dxa"/>
              <w:left w:w="7" w:type="dxa"/>
              <w:bottom w:w="0" w:type="dxa"/>
              <w:right w:w="7" w:type="dxa"/>
            </w:tcMar>
            <w:vAlign w:val="center"/>
          </w:tcPr>
          <w:p w14:paraId="329BE8F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807.31</w:t>
            </w:r>
          </w:p>
        </w:tc>
        <w:tc>
          <w:tcPr>
            <w:tcW w:w="668" w:type="pct"/>
            <w:tcBorders>
              <w:top w:val="single" w:color="000000" w:sz="8" w:space="0"/>
              <w:left w:val="single" w:color="000000" w:sz="8" w:space="0"/>
              <w:bottom w:val="single" w:color="000000" w:sz="8" w:space="0"/>
              <w:right w:val="single" w:color="000000" w:sz="8" w:space="0"/>
            </w:tcBorders>
            <w:noWrap w:val="0"/>
            <w:tcMar>
              <w:top w:w="7" w:type="dxa"/>
              <w:left w:w="7" w:type="dxa"/>
              <w:bottom w:w="0" w:type="dxa"/>
              <w:right w:w="7" w:type="dxa"/>
            </w:tcMar>
            <w:vAlign w:val="center"/>
          </w:tcPr>
          <w:p w14:paraId="0CE4EEB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805.00</w:t>
            </w:r>
          </w:p>
        </w:tc>
        <w:tc>
          <w:tcPr>
            <w:tcW w:w="668" w:type="pct"/>
            <w:tcBorders>
              <w:top w:val="single" w:color="000000" w:sz="8" w:space="0"/>
              <w:left w:val="single" w:color="000000" w:sz="8" w:space="0"/>
              <w:bottom w:val="single" w:color="000000" w:sz="8" w:space="0"/>
              <w:right w:val="single" w:color="000000" w:sz="8" w:space="0"/>
            </w:tcBorders>
            <w:noWrap w:val="0"/>
            <w:tcMar>
              <w:top w:w="7" w:type="dxa"/>
              <w:left w:w="7" w:type="dxa"/>
              <w:bottom w:w="0" w:type="dxa"/>
              <w:right w:w="7" w:type="dxa"/>
            </w:tcMar>
            <w:vAlign w:val="center"/>
          </w:tcPr>
          <w:p w14:paraId="56F4EFC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790.00</w:t>
            </w:r>
          </w:p>
        </w:tc>
        <w:tc>
          <w:tcPr>
            <w:tcW w:w="673" w:type="pct"/>
            <w:tcBorders>
              <w:top w:val="single" w:color="000000" w:sz="8" w:space="0"/>
              <w:left w:val="single" w:color="000000" w:sz="8" w:space="0"/>
              <w:bottom w:val="single" w:color="000000" w:sz="8" w:space="0"/>
              <w:right w:val="single" w:color="000000" w:sz="8" w:space="0"/>
            </w:tcBorders>
            <w:noWrap w:val="0"/>
            <w:tcMar>
              <w:top w:w="7" w:type="dxa"/>
              <w:left w:w="7" w:type="dxa"/>
              <w:bottom w:w="0" w:type="dxa"/>
              <w:right w:w="7" w:type="dxa"/>
            </w:tcMar>
            <w:vAlign w:val="center"/>
          </w:tcPr>
          <w:p w14:paraId="0A7A0DC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785.08</w:t>
            </w:r>
          </w:p>
        </w:tc>
      </w:tr>
      <w:tr w14:paraId="1BF145E1">
        <w:tblPrEx>
          <w:tblCellMar>
            <w:top w:w="0" w:type="dxa"/>
            <w:left w:w="0" w:type="dxa"/>
            <w:bottom w:w="0" w:type="dxa"/>
            <w:right w:w="0" w:type="dxa"/>
          </w:tblCellMar>
        </w:tblPrEx>
        <w:trPr>
          <w:trHeight w:val="20" w:hRule="atLeast"/>
          <w:jc w:val="center"/>
        </w:trPr>
        <w:tc>
          <w:tcPr>
            <w:tcW w:w="1653" w:type="pct"/>
            <w:tcBorders>
              <w:top w:val="single" w:color="000000" w:sz="8" w:space="0"/>
              <w:left w:val="single" w:color="000000" w:sz="8" w:space="0"/>
              <w:bottom w:val="single" w:color="000000" w:sz="8" w:space="0"/>
              <w:right w:val="single" w:color="000000" w:sz="8" w:space="0"/>
            </w:tcBorders>
            <w:noWrap w:val="0"/>
            <w:tcMar>
              <w:top w:w="7" w:type="dxa"/>
              <w:left w:w="7" w:type="dxa"/>
              <w:bottom w:w="0" w:type="dxa"/>
              <w:right w:w="7" w:type="dxa"/>
            </w:tcMar>
            <w:vAlign w:val="center"/>
          </w:tcPr>
          <w:p w14:paraId="6D4677B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乡镇集中式废水排放量（万吨）</w:t>
            </w:r>
          </w:p>
        </w:tc>
        <w:tc>
          <w:tcPr>
            <w:tcW w:w="668" w:type="pct"/>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14:paraId="238C660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1.15</w:t>
            </w:r>
          </w:p>
        </w:tc>
        <w:tc>
          <w:tcPr>
            <w:tcW w:w="668" w:type="pct"/>
            <w:tcBorders>
              <w:top w:val="single" w:color="000000" w:sz="8" w:space="0"/>
              <w:left w:val="single" w:color="000000" w:sz="8" w:space="0"/>
              <w:bottom w:val="single" w:color="000000" w:sz="8" w:space="0"/>
              <w:right w:val="single" w:color="000000" w:sz="8" w:space="0"/>
            </w:tcBorders>
            <w:noWrap w:val="0"/>
            <w:tcMar>
              <w:top w:w="7" w:type="dxa"/>
              <w:left w:w="7" w:type="dxa"/>
              <w:bottom w:w="0" w:type="dxa"/>
              <w:right w:w="7" w:type="dxa"/>
            </w:tcMar>
            <w:vAlign w:val="center"/>
          </w:tcPr>
          <w:p w14:paraId="10EB7F2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0.73</w:t>
            </w:r>
          </w:p>
        </w:tc>
        <w:tc>
          <w:tcPr>
            <w:tcW w:w="668" w:type="pct"/>
            <w:tcBorders>
              <w:top w:val="single" w:color="000000" w:sz="8" w:space="0"/>
              <w:left w:val="single" w:color="000000" w:sz="8" w:space="0"/>
              <w:bottom w:val="single" w:color="000000" w:sz="8" w:space="0"/>
              <w:right w:val="single" w:color="000000" w:sz="8" w:space="0"/>
            </w:tcBorders>
            <w:noWrap w:val="0"/>
            <w:tcMar>
              <w:top w:w="7" w:type="dxa"/>
              <w:left w:w="7" w:type="dxa"/>
              <w:bottom w:w="0" w:type="dxa"/>
              <w:right w:w="7" w:type="dxa"/>
            </w:tcMar>
            <w:vAlign w:val="center"/>
          </w:tcPr>
          <w:p w14:paraId="5E422F0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0.01</w:t>
            </w:r>
          </w:p>
        </w:tc>
        <w:tc>
          <w:tcPr>
            <w:tcW w:w="668" w:type="pct"/>
            <w:tcBorders>
              <w:top w:val="single" w:color="000000" w:sz="8" w:space="0"/>
              <w:left w:val="single" w:color="000000" w:sz="8" w:space="0"/>
              <w:bottom w:val="single" w:color="000000" w:sz="8" w:space="0"/>
              <w:right w:val="single" w:color="000000" w:sz="8" w:space="0"/>
            </w:tcBorders>
            <w:noWrap w:val="0"/>
            <w:tcMar>
              <w:top w:w="7" w:type="dxa"/>
              <w:left w:w="7" w:type="dxa"/>
              <w:bottom w:w="0" w:type="dxa"/>
              <w:right w:w="7" w:type="dxa"/>
            </w:tcMar>
            <w:vAlign w:val="center"/>
          </w:tcPr>
          <w:p w14:paraId="1A2A864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0.02</w:t>
            </w:r>
          </w:p>
        </w:tc>
        <w:tc>
          <w:tcPr>
            <w:tcW w:w="673" w:type="pct"/>
            <w:tcBorders>
              <w:top w:val="single" w:color="000000" w:sz="8" w:space="0"/>
              <w:left w:val="single" w:color="000000" w:sz="8" w:space="0"/>
              <w:bottom w:val="single" w:color="000000" w:sz="8" w:space="0"/>
              <w:right w:val="single" w:color="000000" w:sz="8" w:space="0"/>
            </w:tcBorders>
            <w:noWrap w:val="0"/>
            <w:tcMar>
              <w:top w:w="7" w:type="dxa"/>
              <w:left w:w="7" w:type="dxa"/>
              <w:bottom w:w="0" w:type="dxa"/>
              <w:right w:w="7" w:type="dxa"/>
            </w:tcMar>
            <w:vAlign w:val="center"/>
          </w:tcPr>
          <w:p w14:paraId="0DB386F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4.57</w:t>
            </w:r>
          </w:p>
        </w:tc>
      </w:tr>
    </w:tbl>
    <w:p w14:paraId="66B3DD5B">
      <w:pPr>
        <w:pStyle w:val="4"/>
        <w:bidi w:val="0"/>
        <w:rPr>
          <w:rFonts w:hint="default"/>
        </w:rPr>
      </w:pPr>
      <w:bookmarkStart w:id="35" w:name="_Toc82172410"/>
      <w:bookmarkStart w:id="36" w:name="_Toc9232"/>
      <w:r>
        <w:rPr>
          <w:rFonts w:hint="default"/>
        </w:rPr>
        <w:t>污水处理情况</w:t>
      </w:r>
      <w:bookmarkEnd w:id="35"/>
      <w:bookmarkEnd w:id="36"/>
    </w:p>
    <w:p w14:paraId="12BAF17E">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江源区</w:t>
      </w:r>
      <w:r>
        <w:rPr>
          <w:rFonts w:hint="default" w:ascii="Times New Roman" w:hAnsi="Times New Roman" w:cs="Times New Roman"/>
          <w:lang w:val="en-US" w:eastAsia="zh-CN"/>
        </w:rPr>
        <w:t>城区</w:t>
      </w:r>
      <w:r>
        <w:rPr>
          <w:rFonts w:hint="default" w:ascii="Times New Roman" w:hAnsi="Times New Roman" w:cs="Times New Roman"/>
        </w:rPr>
        <w:t>有一座污水处理厂，即江源区绿水园净化有限公司污水处理厂，设计处理能力2万吨/日，2019年，实际处理污水量620万吨/年，设计出水标准为《城镇污水处理厂污染物排放标准》中一级A标准，污水处理厂负荷率达83.17%，基本能够满足江源区城区污水处理需求。</w:t>
      </w:r>
    </w:p>
    <w:p w14:paraId="68240244">
      <w:pPr>
        <w:pStyle w:val="16"/>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1-11</w:t>
      </w:r>
      <w:r>
        <w:rPr>
          <w:rFonts w:hint="default" w:ascii="Times New Roman" w:hAnsi="Times New Roman" w:cs="Times New Roman"/>
        </w:rPr>
        <w:t>江源区生活污水处理情况</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46"/>
        <w:gridCol w:w="1118"/>
        <w:gridCol w:w="595"/>
        <w:gridCol w:w="1191"/>
        <w:gridCol w:w="890"/>
        <w:gridCol w:w="890"/>
        <w:gridCol w:w="769"/>
        <w:gridCol w:w="769"/>
        <w:gridCol w:w="890"/>
        <w:gridCol w:w="936"/>
      </w:tblGrid>
      <w:tr w14:paraId="4CCE3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0" w:type="auto"/>
            <w:vMerge w:val="restart"/>
            <w:noWrap w:val="0"/>
            <w:tcMar>
              <w:top w:w="72" w:type="dxa"/>
              <w:left w:w="144" w:type="dxa"/>
              <w:bottom w:w="72" w:type="dxa"/>
              <w:right w:w="144" w:type="dxa"/>
            </w:tcMar>
            <w:vAlign w:val="center"/>
          </w:tcPr>
          <w:p w14:paraId="45F34A9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序号</w:t>
            </w:r>
          </w:p>
        </w:tc>
        <w:tc>
          <w:tcPr>
            <w:tcW w:w="0" w:type="auto"/>
            <w:vMerge w:val="restart"/>
            <w:noWrap w:val="0"/>
            <w:tcMar>
              <w:top w:w="72" w:type="dxa"/>
              <w:left w:w="144" w:type="dxa"/>
              <w:bottom w:w="72" w:type="dxa"/>
              <w:right w:w="144" w:type="dxa"/>
            </w:tcMar>
            <w:vAlign w:val="center"/>
          </w:tcPr>
          <w:p w14:paraId="2BCF884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污水处理厂名称</w:t>
            </w:r>
          </w:p>
        </w:tc>
        <w:tc>
          <w:tcPr>
            <w:tcW w:w="0" w:type="auto"/>
            <w:vMerge w:val="restart"/>
            <w:noWrap w:val="0"/>
            <w:tcMar>
              <w:top w:w="72" w:type="dxa"/>
              <w:left w:w="144" w:type="dxa"/>
              <w:bottom w:w="72" w:type="dxa"/>
              <w:right w:w="144" w:type="dxa"/>
            </w:tcMar>
            <w:vAlign w:val="center"/>
          </w:tcPr>
          <w:p w14:paraId="3F8D030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位置</w:t>
            </w:r>
          </w:p>
        </w:tc>
        <w:tc>
          <w:tcPr>
            <w:tcW w:w="0" w:type="auto"/>
            <w:vMerge w:val="restart"/>
            <w:noWrap w:val="0"/>
            <w:tcMar>
              <w:top w:w="72" w:type="dxa"/>
              <w:left w:w="144" w:type="dxa"/>
              <w:bottom w:w="72" w:type="dxa"/>
              <w:right w:w="144" w:type="dxa"/>
            </w:tcMar>
            <w:vAlign w:val="center"/>
          </w:tcPr>
          <w:p w14:paraId="3E77196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设计处理能力（吨/日）</w:t>
            </w:r>
          </w:p>
        </w:tc>
        <w:tc>
          <w:tcPr>
            <w:tcW w:w="0" w:type="auto"/>
            <w:gridSpan w:val="5"/>
            <w:noWrap w:val="0"/>
            <w:tcMar>
              <w:top w:w="72" w:type="dxa"/>
              <w:left w:w="144" w:type="dxa"/>
              <w:bottom w:w="72" w:type="dxa"/>
              <w:right w:w="144" w:type="dxa"/>
            </w:tcMar>
            <w:vAlign w:val="center"/>
          </w:tcPr>
          <w:p w14:paraId="01DF438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污水实际处理量（万吨）</w:t>
            </w:r>
          </w:p>
        </w:tc>
        <w:tc>
          <w:tcPr>
            <w:tcW w:w="0" w:type="auto"/>
            <w:vMerge w:val="restart"/>
            <w:noWrap w:val="0"/>
            <w:tcMar>
              <w:top w:w="72" w:type="dxa"/>
              <w:left w:w="144" w:type="dxa"/>
              <w:bottom w:w="72" w:type="dxa"/>
              <w:right w:w="144" w:type="dxa"/>
            </w:tcMar>
            <w:vAlign w:val="center"/>
          </w:tcPr>
          <w:p w14:paraId="7A9017B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负荷率</w:t>
            </w:r>
          </w:p>
        </w:tc>
      </w:tr>
      <w:tr w14:paraId="189C7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0" w:type="auto"/>
            <w:vMerge w:val="continue"/>
            <w:noWrap w:val="0"/>
            <w:vAlign w:val="center"/>
          </w:tcPr>
          <w:p w14:paraId="710B3002">
            <w:pPr>
              <w:pStyle w:val="17"/>
              <w:kinsoku/>
              <w:wordWrap/>
              <w:topLinePunct w:val="0"/>
              <w:autoSpaceDE/>
              <w:autoSpaceDN/>
              <w:bidi w:val="0"/>
              <w:adjustRightInd/>
              <w:snapToGrid/>
              <w:textAlignment w:val="auto"/>
              <w:rPr>
                <w:rFonts w:hint="default" w:ascii="Times New Roman" w:hAnsi="Times New Roman" w:cs="Times New Roman"/>
              </w:rPr>
            </w:pPr>
          </w:p>
        </w:tc>
        <w:tc>
          <w:tcPr>
            <w:tcW w:w="0" w:type="auto"/>
            <w:vMerge w:val="continue"/>
            <w:noWrap w:val="0"/>
            <w:vAlign w:val="center"/>
          </w:tcPr>
          <w:p w14:paraId="1D670679">
            <w:pPr>
              <w:pStyle w:val="17"/>
              <w:kinsoku/>
              <w:wordWrap/>
              <w:topLinePunct w:val="0"/>
              <w:autoSpaceDE/>
              <w:autoSpaceDN/>
              <w:bidi w:val="0"/>
              <w:adjustRightInd/>
              <w:snapToGrid/>
              <w:textAlignment w:val="auto"/>
              <w:rPr>
                <w:rFonts w:hint="default" w:ascii="Times New Roman" w:hAnsi="Times New Roman" w:cs="Times New Roman"/>
              </w:rPr>
            </w:pPr>
          </w:p>
        </w:tc>
        <w:tc>
          <w:tcPr>
            <w:tcW w:w="0" w:type="auto"/>
            <w:vMerge w:val="continue"/>
            <w:noWrap w:val="0"/>
            <w:vAlign w:val="center"/>
          </w:tcPr>
          <w:p w14:paraId="59207866">
            <w:pPr>
              <w:pStyle w:val="17"/>
              <w:kinsoku/>
              <w:wordWrap/>
              <w:topLinePunct w:val="0"/>
              <w:autoSpaceDE/>
              <w:autoSpaceDN/>
              <w:bidi w:val="0"/>
              <w:adjustRightInd/>
              <w:snapToGrid/>
              <w:textAlignment w:val="auto"/>
              <w:rPr>
                <w:rFonts w:hint="default" w:ascii="Times New Roman" w:hAnsi="Times New Roman" w:cs="Times New Roman"/>
              </w:rPr>
            </w:pPr>
          </w:p>
        </w:tc>
        <w:tc>
          <w:tcPr>
            <w:tcW w:w="0" w:type="auto"/>
            <w:vMerge w:val="continue"/>
            <w:noWrap w:val="0"/>
            <w:vAlign w:val="center"/>
          </w:tcPr>
          <w:p w14:paraId="4B74DA3B">
            <w:pPr>
              <w:pStyle w:val="17"/>
              <w:kinsoku/>
              <w:wordWrap/>
              <w:topLinePunct w:val="0"/>
              <w:autoSpaceDE/>
              <w:autoSpaceDN/>
              <w:bidi w:val="0"/>
              <w:adjustRightInd/>
              <w:snapToGrid/>
              <w:textAlignment w:val="auto"/>
              <w:rPr>
                <w:rFonts w:hint="default" w:ascii="Times New Roman" w:hAnsi="Times New Roman" w:cs="Times New Roman"/>
              </w:rPr>
            </w:pPr>
          </w:p>
        </w:tc>
        <w:tc>
          <w:tcPr>
            <w:tcW w:w="0" w:type="auto"/>
            <w:noWrap w:val="0"/>
            <w:tcMar>
              <w:top w:w="72" w:type="dxa"/>
              <w:left w:w="144" w:type="dxa"/>
              <w:bottom w:w="72" w:type="dxa"/>
              <w:right w:w="144" w:type="dxa"/>
            </w:tcMar>
            <w:vAlign w:val="center"/>
          </w:tcPr>
          <w:p w14:paraId="1748789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2015年</w:t>
            </w:r>
          </w:p>
        </w:tc>
        <w:tc>
          <w:tcPr>
            <w:tcW w:w="0" w:type="auto"/>
            <w:noWrap w:val="0"/>
            <w:tcMar>
              <w:top w:w="72" w:type="dxa"/>
              <w:left w:w="144" w:type="dxa"/>
              <w:bottom w:w="72" w:type="dxa"/>
              <w:right w:w="144" w:type="dxa"/>
            </w:tcMar>
            <w:vAlign w:val="center"/>
          </w:tcPr>
          <w:p w14:paraId="66C24E0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2016年</w:t>
            </w:r>
          </w:p>
        </w:tc>
        <w:tc>
          <w:tcPr>
            <w:tcW w:w="0" w:type="auto"/>
            <w:noWrap w:val="0"/>
            <w:tcMar>
              <w:top w:w="72" w:type="dxa"/>
              <w:left w:w="144" w:type="dxa"/>
              <w:bottom w:w="72" w:type="dxa"/>
              <w:right w:w="144" w:type="dxa"/>
            </w:tcMar>
            <w:vAlign w:val="center"/>
          </w:tcPr>
          <w:p w14:paraId="60868C6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2017年</w:t>
            </w:r>
          </w:p>
        </w:tc>
        <w:tc>
          <w:tcPr>
            <w:tcW w:w="0" w:type="auto"/>
            <w:noWrap w:val="0"/>
            <w:tcMar>
              <w:top w:w="72" w:type="dxa"/>
              <w:left w:w="144" w:type="dxa"/>
              <w:bottom w:w="72" w:type="dxa"/>
              <w:right w:w="144" w:type="dxa"/>
            </w:tcMar>
            <w:vAlign w:val="center"/>
          </w:tcPr>
          <w:p w14:paraId="31B84D0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2018年</w:t>
            </w:r>
          </w:p>
        </w:tc>
        <w:tc>
          <w:tcPr>
            <w:tcW w:w="0" w:type="auto"/>
            <w:noWrap w:val="0"/>
            <w:tcMar>
              <w:top w:w="72" w:type="dxa"/>
              <w:left w:w="144" w:type="dxa"/>
              <w:bottom w:w="72" w:type="dxa"/>
              <w:right w:w="144" w:type="dxa"/>
            </w:tcMar>
            <w:vAlign w:val="center"/>
          </w:tcPr>
          <w:p w14:paraId="6173C03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2019年</w:t>
            </w:r>
          </w:p>
        </w:tc>
        <w:tc>
          <w:tcPr>
            <w:tcW w:w="0" w:type="auto"/>
            <w:vMerge w:val="continue"/>
            <w:noWrap w:val="0"/>
            <w:vAlign w:val="center"/>
          </w:tcPr>
          <w:p w14:paraId="32DD32DC">
            <w:pPr>
              <w:pStyle w:val="17"/>
              <w:kinsoku/>
              <w:wordWrap/>
              <w:topLinePunct w:val="0"/>
              <w:autoSpaceDE/>
              <w:autoSpaceDN/>
              <w:bidi w:val="0"/>
              <w:adjustRightInd/>
              <w:snapToGrid/>
              <w:textAlignment w:val="auto"/>
              <w:rPr>
                <w:rFonts w:hint="default" w:ascii="Times New Roman" w:hAnsi="Times New Roman" w:cs="Times New Roman"/>
              </w:rPr>
            </w:pPr>
          </w:p>
        </w:tc>
      </w:tr>
      <w:tr w14:paraId="72AB2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0" w:type="auto"/>
            <w:noWrap w:val="0"/>
            <w:tcMar>
              <w:top w:w="72" w:type="dxa"/>
              <w:left w:w="144" w:type="dxa"/>
              <w:bottom w:w="72" w:type="dxa"/>
              <w:right w:w="144" w:type="dxa"/>
            </w:tcMar>
            <w:vAlign w:val="center"/>
          </w:tcPr>
          <w:p w14:paraId="0ED06A9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w:t>
            </w:r>
          </w:p>
        </w:tc>
        <w:tc>
          <w:tcPr>
            <w:tcW w:w="0" w:type="auto"/>
            <w:noWrap w:val="0"/>
            <w:tcMar>
              <w:top w:w="15" w:type="dxa"/>
              <w:left w:w="15" w:type="dxa"/>
              <w:bottom w:w="0" w:type="dxa"/>
              <w:right w:w="15" w:type="dxa"/>
            </w:tcMar>
            <w:vAlign w:val="center"/>
          </w:tcPr>
          <w:p w14:paraId="6325FD2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白山市江源区绿水园净化有限公司</w:t>
            </w:r>
          </w:p>
        </w:tc>
        <w:tc>
          <w:tcPr>
            <w:tcW w:w="0" w:type="auto"/>
            <w:noWrap w:val="0"/>
            <w:tcMar>
              <w:top w:w="72" w:type="dxa"/>
              <w:left w:w="144" w:type="dxa"/>
              <w:bottom w:w="72" w:type="dxa"/>
              <w:right w:w="144" w:type="dxa"/>
            </w:tcMar>
            <w:vAlign w:val="center"/>
          </w:tcPr>
          <w:p w14:paraId="062FC95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江源区</w:t>
            </w:r>
          </w:p>
        </w:tc>
        <w:tc>
          <w:tcPr>
            <w:tcW w:w="0" w:type="auto"/>
            <w:noWrap w:val="0"/>
            <w:tcMar>
              <w:top w:w="72" w:type="dxa"/>
              <w:left w:w="144" w:type="dxa"/>
              <w:bottom w:w="72" w:type="dxa"/>
              <w:right w:w="144" w:type="dxa"/>
            </w:tcMar>
            <w:vAlign w:val="center"/>
          </w:tcPr>
          <w:p w14:paraId="205AFF2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20000</w:t>
            </w:r>
          </w:p>
        </w:tc>
        <w:tc>
          <w:tcPr>
            <w:tcW w:w="0" w:type="auto"/>
            <w:noWrap w:val="0"/>
            <w:tcMar>
              <w:top w:w="72" w:type="dxa"/>
              <w:left w:w="144" w:type="dxa"/>
              <w:bottom w:w="72" w:type="dxa"/>
              <w:right w:w="144" w:type="dxa"/>
            </w:tcMar>
            <w:vAlign w:val="center"/>
          </w:tcPr>
          <w:p w14:paraId="5E70644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613.49</w:t>
            </w:r>
          </w:p>
        </w:tc>
        <w:tc>
          <w:tcPr>
            <w:tcW w:w="0" w:type="auto"/>
            <w:noWrap w:val="0"/>
            <w:tcMar>
              <w:top w:w="72" w:type="dxa"/>
              <w:left w:w="144" w:type="dxa"/>
              <w:bottom w:w="72" w:type="dxa"/>
              <w:right w:w="144" w:type="dxa"/>
            </w:tcMar>
            <w:vAlign w:val="center"/>
          </w:tcPr>
          <w:p w14:paraId="50B9F50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571.27</w:t>
            </w:r>
          </w:p>
        </w:tc>
        <w:tc>
          <w:tcPr>
            <w:tcW w:w="0" w:type="auto"/>
            <w:noWrap w:val="0"/>
            <w:tcMar>
              <w:top w:w="72" w:type="dxa"/>
              <w:left w:w="144" w:type="dxa"/>
              <w:bottom w:w="72" w:type="dxa"/>
              <w:right w:w="144" w:type="dxa"/>
            </w:tcMar>
            <w:vAlign w:val="center"/>
          </w:tcPr>
          <w:p w14:paraId="61DD3F9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627</w:t>
            </w:r>
          </w:p>
        </w:tc>
        <w:tc>
          <w:tcPr>
            <w:tcW w:w="0" w:type="auto"/>
            <w:noWrap w:val="0"/>
            <w:tcMar>
              <w:top w:w="72" w:type="dxa"/>
              <w:left w:w="144" w:type="dxa"/>
              <w:bottom w:w="72" w:type="dxa"/>
              <w:right w:w="144" w:type="dxa"/>
            </w:tcMar>
            <w:vAlign w:val="center"/>
          </w:tcPr>
          <w:p w14:paraId="4380BD7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604</w:t>
            </w:r>
          </w:p>
        </w:tc>
        <w:tc>
          <w:tcPr>
            <w:tcW w:w="0" w:type="auto"/>
            <w:noWrap w:val="0"/>
            <w:tcMar>
              <w:top w:w="72" w:type="dxa"/>
              <w:left w:w="144" w:type="dxa"/>
              <w:bottom w:w="72" w:type="dxa"/>
              <w:right w:w="144" w:type="dxa"/>
            </w:tcMar>
            <w:vAlign w:val="center"/>
          </w:tcPr>
          <w:p w14:paraId="78BF47B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620.00</w:t>
            </w:r>
          </w:p>
        </w:tc>
        <w:tc>
          <w:tcPr>
            <w:tcW w:w="0" w:type="auto"/>
            <w:noWrap w:val="0"/>
            <w:tcMar>
              <w:top w:w="72" w:type="dxa"/>
              <w:left w:w="144" w:type="dxa"/>
              <w:bottom w:w="72" w:type="dxa"/>
              <w:right w:w="144" w:type="dxa"/>
            </w:tcMar>
            <w:vAlign w:val="center"/>
          </w:tcPr>
          <w:p w14:paraId="1494AAF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83.17%</w:t>
            </w:r>
          </w:p>
        </w:tc>
      </w:tr>
    </w:tbl>
    <w:p w14:paraId="0D1714DC">
      <w:pPr>
        <w:kinsoku/>
        <w:wordWrap/>
        <w:topLinePunct w:val="0"/>
        <w:autoSpaceDE/>
        <w:autoSpaceDN/>
        <w:bidi w:val="0"/>
        <w:adjustRightInd/>
        <w:snapToGrid/>
        <w:textAlignment w:val="auto"/>
        <w:rPr>
          <w:rFonts w:hint="default" w:ascii="Times New Roman" w:hAnsi="Times New Roman" w:cs="Times New Roman"/>
          <w:lang w:val="en-US" w:eastAsia="zh-CN"/>
        </w:rPr>
      </w:pPr>
      <w:bookmarkStart w:id="37" w:name="_Toc82172411"/>
    </w:p>
    <w:p w14:paraId="3BC60345">
      <w:pPr>
        <w:kinsoku/>
        <w:wordWrap/>
        <w:topLinePunct w:val="0"/>
        <w:autoSpaceDE/>
        <w:autoSpaceDN/>
        <w:bidi w:val="0"/>
        <w:adjustRightInd/>
        <w:snapToGrid/>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江源区建制镇现存5处污水处理厂，情况如下：</w:t>
      </w:r>
    </w:p>
    <w:p w14:paraId="5973036A">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（1）砟子镇本项目小区：日最大污水量150m</w:t>
      </w:r>
      <w:r>
        <w:rPr>
          <w:rFonts w:hint="default" w:ascii="Times New Roman" w:hAnsi="Times New Roman" w:cs="Times New Roman"/>
          <w:vertAlign w:val="superscript"/>
        </w:rPr>
        <w:t>3</w:t>
      </w:r>
      <w:r>
        <w:rPr>
          <w:rFonts w:hint="default" w:ascii="Times New Roman" w:hAnsi="Times New Roman" w:cs="Times New Roman"/>
        </w:rPr>
        <w:t>/d。</w:t>
      </w:r>
    </w:p>
    <w:p w14:paraId="2A6D7404">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（2）湾沟镇本项目小区：日最大污水量200m</w:t>
      </w:r>
      <w:r>
        <w:rPr>
          <w:rFonts w:hint="default" w:ascii="Times New Roman" w:hAnsi="Times New Roman" w:cs="Times New Roman"/>
          <w:vertAlign w:val="superscript"/>
        </w:rPr>
        <w:t>3</w:t>
      </w:r>
      <w:r>
        <w:rPr>
          <w:rFonts w:hint="default" w:ascii="Times New Roman" w:hAnsi="Times New Roman" w:cs="Times New Roman"/>
        </w:rPr>
        <w:t>/d。</w:t>
      </w:r>
    </w:p>
    <w:p w14:paraId="3A86181B">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（3）松树镇本项目小区：小区1：日最大污水量400m</w:t>
      </w:r>
      <w:r>
        <w:rPr>
          <w:rFonts w:hint="default" w:ascii="Times New Roman" w:hAnsi="Times New Roman" w:cs="Times New Roman"/>
          <w:vertAlign w:val="superscript"/>
        </w:rPr>
        <w:t>3</w:t>
      </w:r>
      <w:r>
        <w:rPr>
          <w:rFonts w:hint="default" w:ascii="Times New Roman" w:hAnsi="Times New Roman" w:cs="Times New Roman"/>
        </w:rPr>
        <w:t>/d。</w:t>
      </w:r>
    </w:p>
    <w:p w14:paraId="1DEDB12C">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小区2：日最大污水量150m</w:t>
      </w:r>
      <w:r>
        <w:rPr>
          <w:rFonts w:hint="default" w:ascii="Times New Roman" w:hAnsi="Times New Roman" w:cs="Times New Roman"/>
          <w:vertAlign w:val="superscript"/>
        </w:rPr>
        <w:t>3</w:t>
      </w:r>
      <w:r>
        <w:rPr>
          <w:rFonts w:hint="default" w:ascii="Times New Roman" w:hAnsi="Times New Roman" w:cs="Times New Roman"/>
        </w:rPr>
        <w:t>/d。</w:t>
      </w:r>
    </w:p>
    <w:p w14:paraId="56A5E2AB">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（4）大石人镇污水处理厂，日最大污水量150m</w:t>
      </w:r>
      <w:r>
        <w:rPr>
          <w:rFonts w:hint="default" w:ascii="Times New Roman" w:hAnsi="Times New Roman" w:cs="Times New Roman"/>
          <w:vertAlign w:val="superscript"/>
        </w:rPr>
        <w:t>3</w:t>
      </w:r>
      <w:r>
        <w:rPr>
          <w:rFonts w:hint="default" w:ascii="Times New Roman" w:hAnsi="Times New Roman" w:cs="Times New Roman"/>
        </w:rPr>
        <w:t>/d。</w:t>
      </w:r>
    </w:p>
    <w:p w14:paraId="07A323A0">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（5）大阳岔镇污水处理厂，日最大污水量150m</w:t>
      </w:r>
      <w:r>
        <w:rPr>
          <w:rFonts w:hint="default" w:ascii="Times New Roman" w:hAnsi="Times New Roman" w:cs="Times New Roman"/>
          <w:vertAlign w:val="superscript"/>
        </w:rPr>
        <w:t>3</w:t>
      </w:r>
      <w:r>
        <w:rPr>
          <w:rFonts w:hint="default" w:ascii="Times New Roman" w:hAnsi="Times New Roman" w:cs="Times New Roman"/>
        </w:rPr>
        <w:t>/d。</w:t>
      </w:r>
    </w:p>
    <w:p w14:paraId="44B60DA2">
      <w:pPr>
        <w:pStyle w:val="4"/>
        <w:kinsoku/>
        <w:wordWrap/>
        <w:topLinePunct w:val="0"/>
        <w:autoSpaceDE/>
        <w:autoSpaceDN/>
        <w:bidi w:val="0"/>
        <w:adjustRightInd/>
        <w:snapToGrid/>
        <w:textAlignment w:val="auto"/>
        <w:rPr>
          <w:rFonts w:hint="default" w:ascii="Times New Roman" w:hAnsi="Times New Roman" w:cs="Times New Roman"/>
        </w:rPr>
      </w:pPr>
      <w:bookmarkStart w:id="38" w:name="_Toc22233"/>
      <w:r>
        <w:rPr>
          <w:rFonts w:hint="default" w:ascii="Times New Roman" w:hAnsi="Times New Roman" w:cs="Times New Roman"/>
        </w:rPr>
        <w:t>污水管网建设情况</w:t>
      </w:r>
      <w:bookmarkEnd w:id="37"/>
      <w:bookmarkEnd w:id="38"/>
    </w:p>
    <w:p w14:paraId="20F15B6D">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江源区对城区主干排水管网排查结果，115处雨污井需维修更换，2.25km过江管线和2.585km老旧小区污水管网需维修改造。</w:t>
      </w:r>
    </w:p>
    <w:p w14:paraId="08C667F7">
      <w:pPr>
        <w:pStyle w:val="3"/>
        <w:kinsoku/>
        <w:wordWrap/>
        <w:topLinePunct w:val="0"/>
        <w:autoSpaceDE/>
        <w:autoSpaceDN/>
        <w:bidi w:val="0"/>
        <w:adjustRightInd/>
        <w:snapToGrid/>
        <w:textAlignment w:val="auto"/>
        <w:rPr>
          <w:rFonts w:hint="default" w:ascii="Times New Roman" w:hAnsi="Times New Roman" w:cs="Times New Roman"/>
        </w:rPr>
      </w:pPr>
      <w:bookmarkStart w:id="39" w:name="_Toc82172412"/>
      <w:bookmarkStart w:id="40" w:name="_Toc27603"/>
      <w:r>
        <w:rPr>
          <w:rFonts w:hint="default" w:ascii="Times New Roman" w:hAnsi="Times New Roman" w:cs="Times New Roman"/>
        </w:rPr>
        <w:t>水资源状况</w:t>
      </w:r>
      <w:bookmarkEnd w:id="39"/>
      <w:bookmarkEnd w:id="40"/>
    </w:p>
    <w:p w14:paraId="225884E5">
      <w:pPr>
        <w:pStyle w:val="4"/>
        <w:kinsoku/>
        <w:wordWrap/>
        <w:topLinePunct w:val="0"/>
        <w:autoSpaceDE/>
        <w:autoSpaceDN/>
        <w:bidi w:val="0"/>
        <w:adjustRightInd/>
        <w:snapToGrid/>
        <w:textAlignment w:val="auto"/>
        <w:rPr>
          <w:rFonts w:hint="default" w:ascii="Times New Roman" w:hAnsi="Times New Roman" w:cs="Times New Roman"/>
        </w:rPr>
      </w:pPr>
      <w:bookmarkStart w:id="41" w:name="_Toc25942"/>
      <w:bookmarkStart w:id="42" w:name="_Toc82172413"/>
      <w:r>
        <w:rPr>
          <w:rFonts w:hint="default" w:ascii="Times New Roman" w:hAnsi="Times New Roman" w:cs="Times New Roman"/>
        </w:rPr>
        <w:t>水资源量分析</w:t>
      </w:r>
      <w:bookmarkEnd w:id="41"/>
      <w:bookmarkEnd w:id="42"/>
    </w:p>
    <w:p w14:paraId="1C625DF4">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根据白山市水资源公报，2019年全市水资源总量100.7亿立方米，其中地表水资源量100.7亿立方米，地下水资源量16.75亿立方米（重复计算水量16.75亿立方米）。水资源总量占吉林省水资源总量的20.93%，地表水资源量占吉林省地表水资源总量的23.85%，人均水资源占有量8534立方米，水资源相对比较丰富。白山境江源区境内主要河流有头道松花江支流汤河、浑江及其支流等，分属</w:t>
      </w:r>
      <w:r>
        <w:rPr>
          <w:rFonts w:hint="eastAsia" w:cs="Times New Roman"/>
          <w:lang w:eastAsia="zh-CN"/>
        </w:rPr>
        <w:t>YLJ流域</w:t>
      </w:r>
      <w:r>
        <w:rPr>
          <w:rFonts w:hint="default" w:ascii="Times New Roman" w:hAnsi="Times New Roman" w:cs="Times New Roman"/>
        </w:rPr>
        <w:t>和松花江流域。江源区水资源占比白山市较低，江源区地表水资源量占全市6.83%</w:t>
      </w:r>
      <w:r>
        <w:rPr>
          <w:rFonts w:hint="eastAsia" w:cs="Times New Roman"/>
          <w:lang w:eastAsia="zh-CN"/>
        </w:rPr>
        <w:t>，</w:t>
      </w:r>
      <w:r>
        <w:rPr>
          <w:rFonts w:hint="default" w:ascii="Times New Roman" w:hAnsi="Times New Roman" w:cs="Times New Roman"/>
        </w:rPr>
        <w:t>地下水资源量占比为4.28%；水资源总量方面，江源区占比6.83%，低于全市平均水平。</w:t>
      </w:r>
    </w:p>
    <w:p w14:paraId="09558CAF">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（1）降水量</w:t>
      </w:r>
    </w:p>
    <w:p w14:paraId="2066F325">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江源区境内为吉林省降水量较多的地区之一。历年平均降水量为837.9毫米，最多年份达1238毫米，最少年份643毫米。夏季6～8月降水量大而集中，连雨日较多，最长达21天，降水量占全年降水量的61%。春秋两季降水量较少，各占全年的14～15%左右，春季连续无降水日数较多，最长达23天。冬季降水量占全年的11%。月降水量从1月份开始逐月增加，至7月最多，8月次之，9月开始明显减少。月降水量最大值出现在8月份，为416毫米，最小值出现于2月份，为1.3毫米。降水在一日各时均可出现，但5～9时最多。</w:t>
      </w:r>
    </w:p>
    <w:p w14:paraId="2706E9BC">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（2）水资源量</w:t>
      </w:r>
    </w:p>
    <w:p w14:paraId="7FDED8E9">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白山市江源区地下水资源相对比较丰富。由于地处长白山区，各江河流域内的地下水水位一直处于较高的状态，是补给地表水的主要水量来源。无论汛期或枯水期，多以地下水补给江河，故地下水是转化为江河水的重要组成部分。但目前反映地下水动态变化的地下水观测井点较少，没形成系统完善的资料。</w:t>
      </w:r>
    </w:p>
    <w:p w14:paraId="4AFE2496">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2015-2018年，江源区水资源量见下表。</w:t>
      </w:r>
    </w:p>
    <w:p w14:paraId="79BC25C9">
      <w:pPr>
        <w:pStyle w:val="16"/>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1-12</w:t>
      </w:r>
      <w:r>
        <w:rPr>
          <w:rFonts w:hint="default" w:ascii="Times New Roman" w:hAnsi="Times New Roman" w:cs="Times New Roman"/>
        </w:rPr>
        <w:t>白山市江源区水资源情况表</w:t>
      </w:r>
      <w:r>
        <w:rPr>
          <w:rFonts w:hint="default" w:ascii="Times New Roman" w:hAnsi="Times New Roman" w:cs="Times New Roman"/>
          <w:lang w:val="en-US" w:eastAsia="zh-CN"/>
        </w:rPr>
        <w:t>（</w:t>
      </w:r>
      <w:r>
        <w:rPr>
          <w:rFonts w:hint="default" w:ascii="Times New Roman" w:hAnsi="Times New Roman" w:cs="Times New Roman"/>
        </w:rPr>
        <w:t>2015-2018年</w:t>
      </w:r>
      <w:r>
        <w:rPr>
          <w:rFonts w:hint="default" w:ascii="Times New Roman" w:hAnsi="Times New Roman" w:cs="Times New Roman"/>
          <w:lang w:eastAsia="zh-CN"/>
        </w:rPr>
        <w:t>）</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1686"/>
        <w:gridCol w:w="1452"/>
        <w:gridCol w:w="1452"/>
        <w:gridCol w:w="1452"/>
        <w:gridCol w:w="1452"/>
      </w:tblGrid>
      <w:tr w14:paraId="2112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603" w:type="pct"/>
            <w:noWrap w:val="0"/>
            <w:vAlign w:val="center"/>
          </w:tcPr>
          <w:p w14:paraId="3669D16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年份</w:t>
            </w:r>
          </w:p>
        </w:tc>
        <w:tc>
          <w:tcPr>
            <w:tcW w:w="989" w:type="pct"/>
            <w:noWrap w:val="0"/>
            <w:vAlign w:val="center"/>
          </w:tcPr>
          <w:p w14:paraId="4EE826F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项目</w:t>
            </w:r>
          </w:p>
        </w:tc>
        <w:tc>
          <w:tcPr>
            <w:tcW w:w="852" w:type="pct"/>
            <w:noWrap w:val="0"/>
            <w:vAlign w:val="center"/>
          </w:tcPr>
          <w:p w14:paraId="60BA2E7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2015</w:t>
            </w:r>
          </w:p>
        </w:tc>
        <w:tc>
          <w:tcPr>
            <w:tcW w:w="852" w:type="pct"/>
            <w:noWrap w:val="0"/>
            <w:vAlign w:val="center"/>
          </w:tcPr>
          <w:p w14:paraId="670BE83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2016</w:t>
            </w:r>
          </w:p>
        </w:tc>
        <w:tc>
          <w:tcPr>
            <w:tcW w:w="852" w:type="pct"/>
            <w:noWrap w:val="0"/>
            <w:vAlign w:val="center"/>
          </w:tcPr>
          <w:p w14:paraId="26994C0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2017</w:t>
            </w:r>
          </w:p>
        </w:tc>
        <w:tc>
          <w:tcPr>
            <w:tcW w:w="852" w:type="pct"/>
            <w:noWrap w:val="0"/>
            <w:vAlign w:val="center"/>
          </w:tcPr>
          <w:p w14:paraId="0D52EE8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2018</w:t>
            </w:r>
          </w:p>
        </w:tc>
      </w:tr>
      <w:tr w14:paraId="537F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03" w:type="pct"/>
            <w:vMerge w:val="restart"/>
            <w:noWrap w:val="0"/>
            <w:vAlign w:val="center"/>
          </w:tcPr>
          <w:p w14:paraId="13AC0DC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江源区</w:t>
            </w:r>
          </w:p>
        </w:tc>
        <w:tc>
          <w:tcPr>
            <w:tcW w:w="989" w:type="pct"/>
            <w:noWrap w:val="0"/>
            <w:vAlign w:val="center"/>
          </w:tcPr>
          <w:p w14:paraId="5AE4C08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地表水资源量</w:t>
            </w:r>
          </w:p>
          <w:p w14:paraId="0EA6806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（亿立方米）</w:t>
            </w:r>
          </w:p>
        </w:tc>
        <w:tc>
          <w:tcPr>
            <w:tcW w:w="852" w:type="pct"/>
            <w:noWrap w:val="0"/>
            <w:vAlign w:val="center"/>
          </w:tcPr>
          <w:p w14:paraId="12F61E0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3.69</w:t>
            </w:r>
          </w:p>
        </w:tc>
        <w:tc>
          <w:tcPr>
            <w:tcW w:w="852" w:type="pct"/>
            <w:noWrap w:val="0"/>
            <w:vAlign w:val="center"/>
          </w:tcPr>
          <w:p w14:paraId="1B0134C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5.42</w:t>
            </w:r>
          </w:p>
        </w:tc>
        <w:tc>
          <w:tcPr>
            <w:tcW w:w="852" w:type="pct"/>
            <w:noWrap w:val="0"/>
            <w:vAlign w:val="center"/>
          </w:tcPr>
          <w:p w14:paraId="02E04D7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5.72</w:t>
            </w:r>
          </w:p>
        </w:tc>
        <w:tc>
          <w:tcPr>
            <w:tcW w:w="852" w:type="pct"/>
            <w:noWrap w:val="0"/>
            <w:vAlign w:val="center"/>
          </w:tcPr>
          <w:p w14:paraId="58FC66C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7.26</w:t>
            </w:r>
          </w:p>
        </w:tc>
      </w:tr>
      <w:tr w14:paraId="3B740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03" w:type="pct"/>
            <w:vMerge w:val="continue"/>
            <w:noWrap w:val="0"/>
            <w:vAlign w:val="center"/>
          </w:tcPr>
          <w:p w14:paraId="45D35E76">
            <w:pPr>
              <w:pStyle w:val="17"/>
              <w:kinsoku/>
              <w:wordWrap/>
              <w:topLinePunct w:val="0"/>
              <w:autoSpaceDE/>
              <w:autoSpaceDN/>
              <w:bidi w:val="0"/>
              <w:adjustRightInd/>
              <w:snapToGrid/>
              <w:textAlignment w:val="auto"/>
              <w:rPr>
                <w:rFonts w:hint="default" w:ascii="Times New Roman" w:hAnsi="Times New Roman" w:cs="Times New Roman"/>
              </w:rPr>
            </w:pPr>
          </w:p>
        </w:tc>
        <w:tc>
          <w:tcPr>
            <w:tcW w:w="989" w:type="pct"/>
            <w:noWrap w:val="0"/>
            <w:vAlign w:val="center"/>
          </w:tcPr>
          <w:p w14:paraId="2A720AD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地下水资源量</w:t>
            </w:r>
          </w:p>
          <w:p w14:paraId="709A7C5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（亿立方米）</w:t>
            </w:r>
          </w:p>
        </w:tc>
        <w:tc>
          <w:tcPr>
            <w:tcW w:w="852" w:type="pct"/>
            <w:noWrap w:val="0"/>
            <w:vAlign w:val="center"/>
          </w:tcPr>
          <w:p w14:paraId="7887466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0.67</w:t>
            </w:r>
          </w:p>
        </w:tc>
        <w:tc>
          <w:tcPr>
            <w:tcW w:w="852" w:type="pct"/>
            <w:noWrap w:val="0"/>
            <w:vAlign w:val="center"/>
          </w:tcPr>
          <w:p w14:paraId="206BD6E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0.68</w:t>
            </w:r>
          </w:p>
        </w:tc>
        <w:tc>
          <w:tcPr>
            <w:tcW w:w="852" w:type="pct"/>
            <w:noWrap w:val="0"/>
            <w:vAlign w:val="center"/>
          </w:tcPr>
          <w:p w14:paraId="4D8CECC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0.72</w:t>
            </w:r>
          </w:p>
        </w:tc>
        <w:tc>
          <w:tcPr>
            <w:tcW w:w="852" w:type="pct"/>
            <w:noWrap w:val="0"/>
            <w:vAlign w:val="center"/>
          </w:tcPr>
          <w:p w14:paraId="7F2C735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0.77</w:t>
            </w:r>
          </w:p>
        </w:tc>
      </w:tr>
      <w:tr w14:paraId="5053F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03" w:type="pct"/>
            <w:vMerge w:val="continue"/>
            <w:noWrap w:val="0"/>
            <w:vAlign w:val="center"/>
          </w:tcPr>
          <w:p w14:paraId="18363C16">
            <w:pPr>
              <w:pStyle w:val="17"/>
              <w:kinsoku/>
              <w:wordWrap/>
              <w:topLinePunct w:val="0"/>
              <w:autoSpaceDE/>
              <w:autoSpaceDN/>
              <w:bidi w:val="0"/>
              <w:adjustRightInd/>
              <w:snapToGrid/>
              <w:textAlignment w:val="auto"/>
              <w:rPr>
                <w:rFonts w:hint="default" w:ascii="Times New Roman" w:hAnsi="Times New Roman" w:cs="Times New Roman"/>
              </w:rPr>
            </w:pPr>
          </w:p>
        </w:tc>
        <w:tc>
          <w:tcPr>
            <w:tcW w:w="989" w:type="pct"/>
            <w:noWrap w:val="0"/>
            <w:vAlign w:val="center"/>
          </w:tcPr>
          <w:p w14:paraId="7941069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水资源总量</w:t>
            </w:r>
          </w:p>
          <w:p w14:paraId="45E3C81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（亿立方米）</w:t>
            </w:r>
          </w:p>
        </w:tc>
        <w:tc>
          <w:tcPr>
            <w:tcW w:w="852" w:type="pct"/>
            <w:noWrap w:val="0"/>
            <w:vAlign w:val="center"/>
          </w:tcPr>
          <w:p w14:paraId="45866CF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3.69</w:t>
            </w:r>
          </w:p>
        </w:tc>
        <w:tc>
          <w:tcPr>
            <w:tcW w:w="852" w:type="pct"/>
            <w:noWrap w:val="0"/>
            <w:vAlign w:val="center"/>
          </w:tcPr>
          <w:p w14:paraId="78D6610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5.42</w:t>
            </w:r>
          </w:p>
        </w:tc>
        <w:tc>
          <w:tcPr>
            <w:tcW w:w="852" w:type="pct"/>
            <w:noWrap w:val="0"/>
            <w:vAlign w:val="center"/>
          </w:tcPr>
          <w:p w14:paraId="4593C8E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5.74</w:t>
            </w:r>
          </w:p>
        </w:tc>
        <w:tc>
          <w:tcPr>
            <w:tcW w:w="852" w:type="pct"/>
            <w:noWrap w:val="0"/>
            <w:vAlign w:val="center"/>
          </w:tcPr>
          <w:p w14:paraId="0ECA74A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7.26</w:t>
            </w:r>
          </w:p>
        </w:tc>
      </w:tr>
    </w:tbl>
    <w:p w14:paraId="1A027FCC">
      <w:pPr>
        <w:pStyle w:val="4"/>
        <w:kinsoku/>
        <w:wordWrap/>
        <w:topLinePunct w:val="0"/>
        <w:autoSpaceDE/>
        <w:autoSpaceDN/>
        <w:bidi w:val="0"/>
        <w:adjustRightInd/>
        <w:snapToGrid/>
        <w:textAlignment w:val="auto"/>
        <w:rPr>
          <w:rFonts w:hint="default" w:ascii="Times New Roman" w:hAnsi="Times New Roman" w:cs="Times New Roman"/>
        </w:rPr>
      </w:pPr>
      <w:bookmarkStart w:id="43" w:name="_Toc82172414"/>
      <w:bookmarkStart w:id="44" w:name="_Toc20013"/>
      <w:r>
        <w:rPr>
          <w:rFonts w:hint="default" w:ascii="Times New Roman" w:hAnsi="Times New Roman" w:cs="Times New Roman"/>
        </w:rPr>
        <w:t>水资源开发利用分析</w:t>
      </w:r>
      <w:bookmarkEnd w:id="43"/>
      <w:bookmarkEnd w:id="44"/>
    </w:p>
    <w:p w14:paraId="1F796D20">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（1）用水量分析</w:t>
      </w:r>
    </w:p>
    <w:p w14:paraId="5E2A2856">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2015-2019年，江源区农田灌溉用水量0.0221亿立方米，林牧渔畜用水量0.064亿立方米，工业用水量0.1017亿立方米，城镇公共用水量0.0255亿立方米，居民生活用水量0.1265亿立方米，生态环境用水量0.0275亿立方米，合计亿立方米。详见下表。</w:t>
      </w:r>
    </w:p>
    <w:p w14:paraId="727D23DD">
      <w:pPr>
        <w:pStyle w:val="16"/>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1-13</w:t>
      </w:r>
      <w:r>
        <w:rPr>
          <w:rFonts w:hint="default" w:ascii="Times New Roman" w:hAnsi="Times New Roman" w:cs="Times New Roman"/>
        </w:rPr>
        <w:t>白山市江源区水资源利用情况</w:t>
      </w:r>
      <w:r>
        <w:rPr>
          <w:rFonts w:hint="default" w:ascii="Times New Roman" w:hAnsi="Times New Roman" w:cs="Times New Roman"/>
          <w:lang w:val="en-US" w:eastAsia="zh-CN"/>
        </w:rPr>
        <w:t>（</w:t>
      </w:r>
      <w:r>
        <w:rPr>
          <w:rFonts w:hint="default" w:ascii="Times New Roman" w:hAnsi="Times New Roman" w:cs="Times New Roman"/>
        </w:rPr>
        <w:t>2015-2019年</w:t>
      </w:r>
      <w:r>
        <w:rPr>
          <w:rFonts w:hint="default" w:ascii="Times New Roman" w:hAnsi="Times New Roman" w:cs="Times New Roman"/>
          <w:lang w:eastAsia="zh-CN"/>
        </w:rPr>
        <w:t>）</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884"/>
        <w:gridCol w:w="881"/>
        <w:gridCol w:w="881"/>
        <w:gridCol w:w="882"/>
        <w:gridCol w:w="882"/>
        <w:gridCol w:w="882"/>
        <w:gridCol w:w="882"/>
        <w:gridCol w:w="872"/>
      </w:tblGrid>
      <w:tr w14:paraId="478F7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742" w:type="pct"/>
            <w:noWrap/>
            <w:vAlign w:val="center"/>
          </w:tcPr>
          <w:p w14:paraId="2D5407E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区县</w:t>
            </w:r>
          </w:p>
        </w:tc>
        <w:tc>
          <w:tcPr>
            <w:tcW w:w="534" w:type="pct"/>
            <w:noWrap/>
            <w:vAlign w:val="center"/>
          </w:tcPr>
          <w:p w14:paraId="2012DEA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年份</w:t>
            </w:r>
          </w:p>
        </w:tc>
        <w:tc>
          <w:tcPr>
            <w:tcW w:w="532" w:type="pct"/>
            <w:noWrap/>
            <w:vAlign w:val="center"/>
          </w:tcPr>
          <w:p w14:paraId="2553475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农田</w:t>
            </w:r>
          </w:p>
          <w:p w14:paraId="656D276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灌溉</w:t>
            </w:r>
          </w:p>
        </w:tc>
        <w:tc>
          <w:tcPr>
            <w:tcW w:w="532" w:type="pct"/>
            <w:noWrap/>
            <w:vAlign w:val="center"/>
          </w:tcPr>
          <w:p w14:paraId="0483C47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林牧</w:t>
            </w:r>
          </w:p>
          <w:p w14:paraId="396B432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渔畜</w:t>
            </w:r>
          </w:p>
        </w:tc>
        <w:tc>
          <w:tcPr>
            <w:tcW w:w="532" w:type="pct"/>
            <w:noWrap/>
            <w:vAlign w:val="center"/>
          </w:tcPr>
          <w:p w14:paraId="4A11B3E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工业</w:t>
            </w:r>
          </w:p>
        </w:tc>
        <w:tc>
          <w:tcPr>
            <w:tcW w:w="532" w:type="pct"/>
            <w:noWrap/>
            <w:vAlign w:val="center"/>
          </w:tcPr>
          <w:p w14:paraId="29D661D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城镇</w:t>
            </w:r>
          </w:p>
          <w:p w14:paraId="3E40527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公共</w:t>
            </w:r>
          </w:p>
        </w:tc>
        <w:tc>
          <w:tcPr>
            <w:tcW w:w="532" w:type="pct"/>
            <w:noWrap/>
            <w:vAlign w:val="center"/>
          </w:tcPr>
          <w:p w14:paraId="2C0EB37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居民</w:t>
            </w:r>
          </w:p>
          <w:p w14:paraId="4C7C6E4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生活</w:t>
            </w:r>
          </w:p>
        </w:tc>
        <w:tc>
          <w:tcPr>
            <w:tcW w:w="532" w:type="pct"/>
            <w:noWrap/>
            <w:vAlign w:val="center"/>
          </w:tcPr>
          <w:p w14:paraId="5711ADE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生态</w:t>
            </w:r>
          </w:p>
          <w:p w14:paraId="5A643C8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环境</w:t>
            </w:r>
          </w:p>
        </w:tc>
        <w:tc>
          <w:tcPr>
            <w:tcW w:w="526" w:type="pct"/>
            <w:noWrap/>
            <w:vAlign w:val="center"/>
          </w:tcPr>
          <w:p w14:paraId="492FA4D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合计</w:t>
            </w:r>
          </w:p>
        </w:tc>
      </w:tr>
      <w:tr w14:paraId="7C10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2" w:type="pct"/>
            <w:vMerge w:val="restart"/>
            <w:noWrap/>
            <w:vAlign w:val="center"/>
          </w:tcPr>
          <w:p w14:paraId="08544BB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江源区</w:t>
            </w:r>
          </w:p>
          <w:p w14:paraId="1119872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（亿立方米）</w:t>
            </w:r>
          </w:p>
        </w:tc>
        <w:tc>
          <w:tcPr>
            <w:tcW w:w="534" w:type="pct"/>
            <w:noWrap/>
            <w:vAlign w:val="center"/>
          </w:tcPr>
          <w:p w14:paraId="6AC2B9D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2015</w:t>
            </w:r>
          </w:p>
        </w:tc>
        <w:tc>
          <w:tcPr>
            <w:tcW w:w="532" w:type="pct"/>
            <w:noWrap/>
            <w:vAlign w:val="center"/>
          </w:tcPr>
          <w:p w14:paraId="39E065F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0.0175</w:t>
            </w:r>
          </w:p>
        </w:tc>
        <w:tc>
          <w:tcPr>
            <w:tcW w:w="532" w:type="pct"/>
            <w:noWrap/>
            <w:vAlign w:val="center"/>
          </w:tcPr>
          <w:p w14:paraId="35E49E4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0.068</w:t>
            </w:r>
          </w:p>
        </w:tc>
        <w:tc>
          <w:tcPr>
            <w:tcW w:w="532" w:type="pct"/>
            <w:noWrap/>
            <w:vAlign w:val="center"/>
          </w:tcPr>
          <w:p w14:paraId="2A917F0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0.115</w:t>
            </w:r>
          </w:p>
        </w:tc>
        <w:tc>
          <w:tcPr>
            <w:tcW w:w="532" w:type="pct"/>
            <w:noWrap/>
            <w:vAlign w:val="center"/>
          </w:tcPr>
          <w:p w14:paraId="22E735B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0.02</w:t>
            </w:r>
          </w:p>
        </w:tc>
        <w:tc>
          <w:tcPr>
            <w:tcW w:w="532" w:type="pct"/>
            <w:noWrap/>
            <w:vAlign w:val="center"/>
          </w:tcPr>
          <w:p w14:paraId="39C8C7D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0.126</w:t>
            </w:r>
          </w:p>
        </w:tc>
        <w:tc>
          <w:tcPr>
            <w:tcW w:w="532" w:type="pct"/>
            <w:noWrap/>
            <w:vAlign w:val="center"/>
          </w:tcPr>
          <w:p w14:paraId="0EA9BB6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0.041</w:t>
            </w:r>
          </w:p>
        </w:tc>
        <w:tc>
          <w:tcPr>
            <w:tcW w:w="526" w:type="pct"/>
            <w:noWrap/>
            <w:vAlign w:val="center"/>
          </w:tcPr>
          <w:p w14:paraId="0DEDEB1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0.3875</w:t>
            </w:r>
          </w:p>
        </w:tc>
      </w:tr>
      <w:tr w14:paraId="0A65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2" w:type="pct"/>
            <w:vMerge w:val="continue"/>
            <w:noWrap w:val="0"/>
            <w:vAlign w:val="center"/>
          </w:tcPr>
          <w:p w14:paraId="34039819">
            <w:pPr>
              <w:pStyle w:val="17"/>
              <w:kinsoku/>
              <w:wordWrap/>
              <w:topLinePunct w:val="0"/>
              <w:autoSpaceDE/>
              <w:autoSpaceDN/>
              <w:bidi w:val="0"/>
              <w:adjustRightInd/>
              <w:snapToGrid/>
              <w:textAlignment w:val="auto"/>
              <w:rPr>
                <w:rFonts w:hint="default" w:ascii="Times New Roman" w:hAnsi="Times New Roman" w:cs="Times New Roman"/>
              </w:rPr>
            </w:pPr>
          </w:p>
        </w:tc>
        <w:tc>
          <w:tcPr>
            <w:tcW w:w="534" w:type="pct"/>
            <w:noWrap/>
            <w:vAlign w:val="center"/>
          </w:tcPr>
          <w:p w14:paraId="4C487F6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2016</w:t>
            </w:r>
          </w:p>
        </w:tc>
        <w:tc>
          <w:tcPr>
            <w:tcW w:w="532" w:type="pct"/>
            <w:noWrap/>
            <w:vAlign w:val="center"/>
          </w:tcPr>
          <w:p w14:paraId="16403A8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0.017</w:t>
            </w:r>
          </w:p>
        </w:tc>
        <w:tc>
          <w:tcPr>
            <w:tcW w:w="532" w:type="pct"/>
            <w:noWrap/>
            <w:vAlign w:val="center"/>
          </w:tcPr>
          <w:p w14:paraId="7D1E62A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0.0665</w:t>
            </w:r>
          </w:p>
        </w:tc>
        <w:tc>
          <w:tcPr>
            <w:tcW w:w="532" w:type="pct"/>
            <w:noWrap/>
            <w:vAlign w:val="center"/>
          </w:tcPr>
          <w:p w14:paraId="45411C6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0.111</w:t>
            </w:r>
          </w:p>
        </w:tc>
        <w:tc>
          <w:tcPr>
            <w:tcW w:w="532" w:type="pct"/>
            <w:noWrap/>
            <w:vAlign w:val="center"/>
          </w:tcPr>
          <w:p w14:paraId="2B531C4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0.0195</w:t>
            </w:r>
          </w:p>
        </w:tc>
        <w:tc>
          <w:tcPr>
            <w:tcW w:w="532" w:type="pct"/>
            <w:noWrap/>
            <w:vAlign w:val="center"/>
          </w:tcPr>
          <w:p w14:paraId="4666A3C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0.126</w:t>
            </w:r>
          </w:p>
        </w:tc>
        <w:tc>
          <w:tcPr>
            <w:tcW w:w="532" w:type="pct"/>
            <w:noWrap/>
            <w:vAlign w:val="center"/>
          </w:tcPr>
          <w:p w14:paraId="45D22CF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0.023</w:t>
            </w:r>
          </w:p>
        </w:tc>
        <w:tc>
          <w:tcPr>
            <w:tcW w:w="526" w:type="pct"/>
            <w:noWrap/>
            <w:vAlign w:val="center"/>
          </w:tcPr>
          <w:p w14:paraId="5EB73A7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0.363</w:t>
            </w:r>
          </w:p>
        </w:tc>
      </w:tr>
      <w:tr w14:paraId="11C32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2" w:type="pct"/>
            <w:vMerge w:val="continue"/>
            <w:noWrap w:val="0"/>
            <w:vAlign w:val="center"/>
          </w:tcPr>
          <w:p w14:paraId="637DA1D0">
            <w:pPr>
              <w:pStyle w:val="17"/>
              <w:kinsoku/>
              <w:wordWrap/>
              <w:topLinePunct w:val="0"/>
              <w:autoSpaceDE/>
              <w:autoSpaceDN/>
              <w:bidi w:val="0"/>
              <w:adjustRightInd/>
              <w:snapToGrid/>
              <w:textAlignment w:val="auto"/>
              <w:rPr>
                <w:rFonts w:hint="default" w:ascii="Times New Roman" w:hAnsi="Times New Roman" w:cs="Times New Roman"/>
              </w:rPr>
            </w:pPr>
          </w:p>
        </w:tc>
        <w:tc>
          <w:tcPr>
            <w:tcW w:w="534" w:type="pct"/>
            <w:noWrap/>
            <w:vAlign w:val="center"/>
          </w:tcPr>
          <w:p w14:paraId="07E483D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2017</w:t>
            </w:r>
          </w:p>
        </w:tc>
        <w:tc>
          <w:tcPr>
            <w:tcW w:w="532" w:type="pct"/>
            <w:noWrap w:val="0"/>
            <w:vAlign w:val="center"/>
          </w:tcPr>
          <w:p w14:paraId="0F2A287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0.0185</w:t>
            </w:r>
          </w:p>
        </w:tc>
        <w:tc>
          <w:tcPr>
            <w:tcW w:w="532" w:type="pct"/>
            <w:noWrap w:val="0"/>
            <w:vAlign w:val="center"/>
          </w:tcPr>
          <w:p w14:paraId="29527B5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0.0715</w:t>
            </w:r>
          </w:p>
        </w:tc>
        <w:tc>
          <w:tcPr>
            <w:tcW w:w="532" w:type="pct"/>
            <w:noWrap w:val="0"/>
            <w:vAlign w:val="center"/>
          </w:tcPr>
          <w:p w14:paraId="2C6EA06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0.0915</w:t>
            </w:r>
          </w:p>
        </w:tc>
        <w:tc>
          <w:tcPr>
            <w:tcW w:w="532" w:type="pct"/>
            <w:noWrap w:val="0"/>
            <w:vAlign w:val="center"/>
          </w:tcPr>
          <w:p w14:paraId="5BA39C9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0.0365</w:t>
            </w:r>
          </w:p>
        </w:tc>
        <w:tc>
          <w:tcPr>
            <w:tcW w:w="532" w:type="pct"/>
            <w:noWrap w:val="0"/>
            <w:vAlign w:val="center"/>
          </w:tcPr>
          <w:p w14:paraId="0411EE9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0.128</w:t>
            </w:r>
          </w:p>
        </w:tc>
        <w:tc>
          <w:tcPr>
            <w:tcW w:w="532" w:type="pct"/>
            <w:noWrap w:val="0"/>
            <w:vAlign w:val="center"/>
          </w:tcPr>
          <w:p w14:paraId="020F7FF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0.026</w:t>
            </w:r>
          </w:p>
        </w:tc>
        <w:tc>
          <w:tcPr>
            <w:tcW w:w="526" w:type="pct"/>
            <w:noWrap w:val="0"/>
            <w:vAlign w:val="center"/>
          </w:tcPr>
          <w:p w14:paraId="0535045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0.372</w:t>
            </w:r>
          </w:p>
        </w:tc>
      </w:tr>
      <w:tr w14:paraId="098A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2" w:type="pct"/>
            <w:vMerge w:val="continue"/>
            <w:noWrap w:val="0"/>
            <w:vAlign w:val="center"/>
          </w:tcPr>
          <w:p w14:paraId="5A820883">
            <w:pPr>
              <w:pStyle w:val="17"/>
              <w:kinsoku/>
              <w:wordWrap/>
              <w:topLinePunct w:val="0"/>
              <w:autoSpaceDE/>
              <w:autoSpaceDN/>
              <w:bidi w:val="0"/>
              <w:adjustRightInd/>
              <w:snapToGrid/>
              <w:textAlignment w:val="auto"/>
              <w:rPr>
                <w:rFonts w:hint="default" w:ascii="Times New Roman" w:hAnsi="Times New Roman" w:cs="Times New Roman"/>
              </w:rPr>
            </w:pPr>
          </w:p>
        </w:tc>
        <w:tc>
          <w:tcPr>
            <w:tcW w:w="534" w:type="pct"/>
            <w:noWrap/>
            <w:vAlign w:val="center"/>
          </w:tcPr>
          <w:p w14:paraId="54807FB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2018</w:t>
            </w:r>
          </w:p>
        </w:tc>
        <w:tc>
          <w:tcPr>
            <w:tcW w:w="532" w:type="pct"/>
            <w:noWrap w:val="0"/>
            <w:vAlign w:val="center"/>
          </w:tcPr>
          <w:p w14:paraId="5908DD0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0.026</w:t>
            </w:r>
          </w:p>
        </w:tc>
        <w:tc>
          <w:tcPr>
            <w:tcW w:w="532" w:type="pct"/>
            <w:noWrap w:val="0"/>
            <w:vAlign w:val="center"/>
          </w:tcPr>
          <w:p w14:paraId="4FEE496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0.0715</w:t>
            </w:r>
          </w:p>
        </w:tc>
        <w:tc>
          <w:tcPr>
            <w:tcW w:w="532" w:type="pct"/>
            <w:noWrap w:val="0"/>
            <w:vAlign w:val="center"/>
          </w:tcPr>
          <w:p w14:paraId="607F9F1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0.088</w:t>
            </w:r>
          </w:p>
        </w:tc>
        <w:tc>
          <w:tcPr>
            <w:tcW w:w="532" w:type="pct"/>
            <w:noWrap w:val="0"/>
            <w:vAlign w:val="center"/>
          </w:tcPr>
          <w:p w14:paraId="1631B16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0.0365</w:t>
            </w:r>
          </w:p>
        </w:tc>
        <w:tc>
          <w:tcPr>
            <w:tcW w:w="532" w:type="pct"/>
            <w:noWrap w:val="0"/>
            <w:vAlign w:val="center"/>
          </w:tcPr>
          <w:p w14:paraId="6F9E048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0.132</w:t>
            </w:r>
          </w:p>
        </w:tc>
        <w:tc>
          <w:tcPr>
            <w:tcW w:w="532" w:type="pct"/>
            <w:noWrap w:val="0"/>
            <w:vAlign w:val="center"/>
          </w:tcPr>
          <w:p w14:paraId="355EB34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0.026</w:t>
            </w:r>
          </w:p>
        </w:tc>
        <w:tc>
          <w:tcPr>
            <w:tcW w:w="526" w:type="pct"/>
            <w:noWrap w:val="0"/>
            <w:vAlign w:val="center"/>
          </w:tcPr>
          <w:p w14:paraId="6719E76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0.38</w:t>
            </w:r>
          </w:p>
        </w:tc>
      </w:tr>
      <w:tr w14:paraId="55F95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2" w:type="pct"/>
            <w:vMerge w:val="continue"/>
            <w:noWrap w:val="0"/>
            <w:vAlign w:val="center"/>
          </w:tcPr>
          <w:p w14:paraId="0EAF2201">
            <w:pPr>
              <w:pStyle w:val="17"/>
              <w:kinsoku/>
              <w:wordWrap/>
              <w:topLinePunct w:val="0"/>
              <w:autoSpaceDE/>
              <w:autoSpaceDN/>
              <w:bidi w:val="0"/>
              <w:adjustRightInd/>
              <w:snapToGrid/>
              <w:textAlignment w:val="auto"/>
              <w:rPr>
                <w:rFonts w:hint="default" w:ascii="Times New Roman" w:hAnsi="Times New Roman" w:cs="Times New Roman"/>
              </w:rPr>
            </w:pPr>
          </w:p>
        </w:tc>
        <w:tc>
          <w:tcPr>
            <w:tcW w:w="534" w:type="pct"/>
            <w:noWrap/>
            <w:vAlign w:val="center"/>
          </w:tcPr>
          <w:p w14:paraId="458CECF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2019</w:t>
            </w:r>
          </w:p>
        </w:tc>
        <w:tc>
          <w:tcPr>
            <w:tcW w:w="532" w:type="pct"/>
            <w:noWrap/>
            <w:vAlign w:val="center"/>
          </w:tcPr>
          <w:p w14:paraId="79CC39D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0.0315</w:t>
            </w:r>
          </w:p>
        </w:tc>
        <w:tc>
          <w:tcPr>
            <w:tcW w:w="532" w:type="pct"/>
            <w:noWrap/>
            <w:vAlign w:val="center"/>
          </w:tcPr>
          <w:p w14:paraId="6E31342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0.0425</w:t>
            </w:r>
          </w:p>
        </w:tc>
        <w:tc>
          <w:tcPr>
            <w:tcW w:w="532" w:type="pct"/>
            <w:noWrap/>
            <w:vAlign w:val="center"/>
          </w:tcPr>
          <w:p w14:paraId="56BD5A4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0.103</w:t>
            </w:r>
          </w:p>
        </w:tc>
        <w:tc>
          <w:tcPr>
            <w:tcW w:w="532" w:type="pct"/>
            <w:noWrap/>
            <w:vAlign w:val="center"/>
          </w:tcPr>
          <w:p w14:paraId="64A2A5C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0.015</w:t>
            </w:r>
          </w:p>
        </w:tc>
        <w:tc>
          <w:tcPr>
            <w:tcW w:w="532" w:type="pct"/>
            <w:noWrap/>
            <w:vAlign w:val="center"/>
          </w:tcPr>
          <w:p w14:paraId="6CE12A4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0.1205</w:t>
            </w:r>
          </w:p>
        </w:tc>
        <w:tc>
          <w:tcPr>
            <w:tcW w:w="532" w:type="pct"/>
            <w:noWrap/>
            <w:vAlign w:val="center"/>
          </w:tcPr>
          <w:p w14:paraId="7A65CCC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0.0217</w:t>
            </w:r>
          </w:p>
        </w:tc>
        <w:tc>
          <w:tcPr>
            <w:tcW w:w="526" w:type="pct"/>
            <w:noWrap/>
            <w:vAlign w:val="center"/>
          </w:tcPr>
          <w:p w14:paraId="5183694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0.3342</w:t>
            </w:r>
          </w:p>
        </w:tc>
      </w:tr>
      <w:tr w14:paraId="337E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2" w:type="pct"/>
            <w:vMerge w:val="continue"/>
            <w:noWrap w:val="0"/>
            <w:vAlign w:val="center"/>
          </w:tcPr>
          <w:p w14:paraId="29B7BD3F">
            <w:pPr>
              <w:pStyle w:val="17"/>
              <w:kinsoku/>
              <w:wordWrap/>
              <w:topLinePunct w:val="0"/>
              <w:autoSpaceDE/>
              <w:autoSpaceDN/>
              <w:bidi w:val="0"/>
              <w:adjustRightInd/>
              <w:snapToGrid/>
              <w:textAlignment w:val="auto"/>
              <w:rPr>
                <w:rFonts w:hint="default" w:ascii="Times New Roman" w:hAnsi="Times New Roman" w:cs="Times New Roman"/>
              </w:rPr>
            </w:pPr>
          </w:p>
        </w:tc>
        <w:tc>
          <w:tcPr>
            <w:tcW w:w="534" w:type="pct"/>
            <w:noWrap/>
            <w:vAlign w:val="center"/>
          </w:tcPr>
          <w:p w14:paraId="6B4803E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平均</w:t>
            </w:r>
          </w:p>
        </w:tc>
        <w:tc>
          <w:tcPr>
            <w:tcW w:w="532" w:type="pct"/>
            <w:noWrap/>
            <w:vAlign w:val="center"/>
          </w:tcPr>
          <w:p w14:paraId="0CBEFA6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0.0221</w:t>
            </w:r>
          </w:p>
        </w:tc>
        <w:tc>
          <w:tcPr>
            <w:tcW w:w="532" w:type="pct"/>
            <w:noWrap/>
            <w:vAlign w:val="center"/>
          </w:tcPr>
          <w:p w14:paraId="4D0893C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0.0640</w:t>
            </w:r>
          </w:p>
        </w:tc>
        <w:tc>
          <w:tcPr>
            <w:tcW w:w="532" w:type="pct"/>
            <w:noWrap/>
            <w:vAlign w:val="center"/>
          </w:tcPr>
          <w:p w14:paraId="5AB1B03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0.1017</w:t>
            </w:r>
          </w:p>
        </w:tc>
        <w:tc>
          <w:tcPr>
            <w:tcW w:w="532" w:type="pct"/>
            <w:noWrap/>
            <w:vAlign w:val="center"/>
          </w:tcPr>
          <w:p w14:paraId="237CCFE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0.0255</w:t>
            </w:r>
          </w:p>
        </w:tc>
        <w:tc>
          <w:tcPr>
            <w:tcW w:w="532" w:type="pct"/>
            <w:noWrap/>
            <w:vAlign w:val="center"/>
          </w:tcPr>
          <w:p w14:paraId="3B4DE60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0.1265</w:t>
            </w:r>
          </w:p>
        </w:tc>
        <w:tc>
          <w:tcPr>
            <w:tcW w:w="532" w:type="pct"/>
            <w:noWrap/>
            <w:vAlign w:val="center"/>
          </w:tcPr>
          <w:p w14:paraId="5E19D73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0.0275</w:t>
            </w:r>
          </w:p>
        </w:tc>
        <w:tc>
          <w:tcPr>
            <w:tcW w:w="526" w:type="pct"/>
            <w:noWrap/>
            <w:vAlign w:val="center"/>
          </w:tcPr>
          <w:p w14:paraId="0C886EB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0.3673</w:t>
            </w:r>
          </w:p>
        </w:tc>
      </w:tr>
    </w:tbl>
    <w:p w14:paraId="1CB162FC">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p>
    <w:p w14:paraId="0FC3C721">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（2）水资源开发利用强度</w:t>
      </w:r>
    </w:p>
    <w:p w14:paraId="717AB548">
      <w:pPr>
        <w:kinsoku/>
        <w:wordWrap/>
        <w:topLinePunct w:val="0"/>
        <w:autoSpaceDE/>
        <w:autoSpaceDN/>
        <w:bidi w:val="0"/>
        <w:adjustRightInd/>
        <w:snapToGrid/>
        <w:textAlignment w:val="auto"/>
        <w:rPr>
          <w:rFonts w:hint="default" w:ascii="Times New Roman" w:hAnsi="Times New Roman" w:eastAsia="宋体" w:cs="Times New Roman"/>
          <w:color w:val="auto"/>
          <w:szCs w:val="24"/>
        </w:rPr>
      </w:pPr>
      <w:r>
        <w:rPr>
          <w:rFonts w:hint="default" w:ascii="Times New Roman" w:hAnsi="Times New Roman" w:cs="Times New Roman"/>
        </w:rPr>
        <w:t>江源区水资源开发利用强度不高，2015年-2018年全市水资源开发利用强度分别为10.5%、6.7%、6.48%和5.23%（2019年暂无统计数据）。详见下表。</w:t>
      </w:r>
    </w:p>
    <w:p w14:paraId="64CC94EE">
      <w:pPr>
        <w:pStyle w:val="16"/>
        <w:kinsoku/>
        <w:wordWrap/>
        <w:topLinePunct w:val="0"/>
        <w:autoSpaceDE/>
        <w:autoSpaceDN/>
        <w:bidi w:val="0"/>
        <w:adjustRightInd/>
        <w:snapToGrid/>
        <w:textAlignment w:val="auto"/>
        <w:rPr>
          <w:rFonts w:hint="default" w:ascii="Times New Roman" w:hAnsi="Times New Roman" w:cs="Times New Roman"/>
        </w:rPr>
        <w:sectPr>
          <w:pgSz w:w="11906" w:h="16838"/>
          <w:pgMar w:top="1440" w:right="1800" w:bottom="1440" w:left="1800" w:header="851" w:footer="992" w:gutter="0"/>
          <w:pgNumType w:fmt="numberInDash"/>
          <w:cols w:space="0" w:num="1"/>
          <w:rtlGutter w:val="0"/>
          <w:docGrid w:type="lines" w:linePitch="332" w:charSpace="0"/>
        </w:sectPr>
      </w:pPr>
    </w:p>
    <w:p w14:paraId="07E4AD43">
      <w:pPr>
        <w:pStyle w:val="16"/>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1-14</w:t>
      </w:r>
      <w:r>
        <w:rPr>
          <w:rFonts w:hint="default" w:ascii="Times New Roman" w:hAnsi="Times New Roman" w:cs="Times New Roman"/>
        </w:rPr>
        <w:t>江源区用水效率统计表</w:t>
      </w:r>
    </w:p>
    <w:tbl>
      <w:tblPr>
        <w:tblStyle w:val="13"/>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2316"/>
        <w:gridCol w:w="1324"/>
        <w:gridCol w:w="1324"/>
        <w:gridCol w:w="1324"/>
        <w:gridCol w:w="1320"/>
      </w:tblGrid>
      <w:tr w14:paraId="0666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9" w:type="pct"/>
            <w:noWrap w:val="0"/>
            <w:vAlign w:val="center"/>
          </w:tcPr>
          <w:p w14:paraId="3EB9F19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年份</w:t>
            </w:r>
          </w:p>
        </w:tc>
        <w:tc>
          <w:tcPr>
            <w:tcW w:w="1361" w:type="pct"/>
            <w:noWrap w:val="0"/>
            <w:vAlign w:val="center"/>
          </w:tcPr>
          <w:p w14:paraId="700BBB4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项目</w:t>
            </w:r>
          </w:p>
        </w:tc>
        <w:tc>
          <w:tcPr>
            <w:tcW w:w="778" w:type="pct"/>
            <w:noWrap w:val="0"/>
            <w:vAlign w:val="center"/>
          </w:tcPr>
          <w:p w14:paraId="7B00CFB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2015</w:t>
            </w:r>
          </w:p>
        </w:tc>
        <w:tc>
          <w:tcPr>
            <w:tcW w:w="778" w:type="pct"/>
            <w:noWrap w:val="0"/>
            <w:vAlign w:val="center"/>
          </w:tcPr>
          <w:p w14:paraId="54EF589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2016</w:t>
            </w:r>
          </w:p>
        </w:tc>
        <w:tc>
          <w:tcPr>
            <w:tcW w:w="778" w:type="pct"/>
            <w:noWrap w:val="0"/>
            <w:vAlign w:val="center"/>
          </w:tcPr>
          <w:p w14:paraId="7902617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2017</w:t>
            </w:r>
          </w:p>
        </w:tc>
        <w:tc>
          <w:tcPr>
            <w:tcW w:w="776" w:type="pct"/>
            <w:noWrap w:val="0"/>
            <w:vAlign w:val="center"/>
          </w:tcPr>
          <w:p w14:paraId="3156594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2018</w:t>
            </w:r>
          </w:p>
        </w:tc>
      </w:tr>
      <w:tr w14:paraId="7719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9" w:type="pct"/>
            <w:vMerge w:val="restart"/>
            <w:noWrap/>
            <w:vAlign w:val="center"/>
          </w:tcPr>
          <w:p w14:paraId="1F2D0EA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江源区</w:t>
            </w:r>
          </w:p>
        </w:tc>
        <w:tc>
          <w:tcPr>
            <w:tcW w:w="1361" w:type="pct"/>
            <w:noWrap/>
            <w:vAlign w:val="center"/>
          </w:tcPr>
          <w:p w14:paraId="0B1E5B7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用水量（亿立方米）</w:t>
            </w:r>
          </w:p>
        </w:tc>
        <w:tc>
          <w:tcPr>
            <w:tcW w:w="778" w:type="pct"/>
            <w:noWrap/>
            <w:vAlign w:val="center"/>
          </w:tcPr>
          <w:p w14:paraId="1D241C8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0.3875</w:t>
            </w:r>
          </w:p>
        </w:tc>
        <w:tc>
          <w:tcPr>
            <w:tcW w:w="778" w:type="pct"/>
            <w:noWrap/>
            <w:vAlign w:val="center"/>
          </w:tcPr>
          <w:p w14:paraId="2478D69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0.363</w:t>
            </w:r>
          </w:p>
        </w:tc>
        <w:tc>
          <w:tcPr>
            <w:tcW w:w="778" w:type="pct"/>
            <w:noWrap w:val="0"/>
            <w:vAlign w:val="center"/>
          </w:tcPr>
          <w:p w14:paraId="30D186C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0.372</w:t>
            </w:r>
          </w:p>
        </w:tc>
        <w:tc>
          <w:tcPr>
            <w:tcW w:w="776" w:type="pct"/>
            <w:noWrap w:val="0"/>
            <w:vAlign w:val="center"/>
          </w:tcPr>
          <w:p w14:paraId="280E373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0.38</w:t>
            </w:r>
          </w:p>
        </w:tc>
      </w:tr>
      <w:tr w14:paraId="336A2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9" w:type="pct"/>
            <w:vMerge w:val="continue"/>
            <w:noWrap w:val="0"/>
            <w:vAlign w:val="center"/>
          </w:tcPr>
          <w:p w14:paraId="3D69B85F">
            <w:pPr>
              <w:pStyle w:val="17"/>
              <w:kinsoku/>
              <w:wordWrap/>
              <w:topLinePunct w:val="0"/>
              <w:autoSpaceDE/>
              <w:autoSpaceDN/>
              <w:bidi w:val="0"/>
              <w:adjustRightInd/>
              <w:snapToGrid/>
              <w:textAlignment w:val="auto"/>
              <w:rPr>
                <w:rFonts w:hint="default" w:ascii="Times New Roman" w:hAnsi="Times New Roman" w:cs="Times New Roman"/>
              </w:rPr>
            </w:pPr>
          </w:p>
        </w:tc>
        <w:tc>
          <w:tcPr>
            <w:tcW w:w="1361" w:type="pct"/>
            <w:noWrap/>
            <w:vAlign w:val="center"/>
          </w:tcPr>
          <w:p w14:paraId="2F7313D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水资源量（亿立方米）</w:t>
            </w:r>
          </w:p>
        </w:tc>
        <w:tc>
          <w:tcPr>
            <w:tcW w:w="778" w:type="pct"/>
            <w:noWrap/>
            <w:vAlign w:val="center"/>
          </w:tcPr>
          <w:p w14:paraId="4200815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3.69</w:t>
            </w:r>
          </w:p>
        </w:tc>
        <w:tc>
          <w:tcPr>
            <w:tcW w:w="778" w:type="pct"/>
            <w:noWrap/>
            <w:vAlign w:val="center"/>
          </w:tcPr>
          <w:p w14:paraId="78DB6F8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5.42</w:t>
            </w:r>
          </w:p>
        </w:tc>
        <w:tc>
          <w:tcPr>
            <w:tcW w:w="778" w:type="pct"/>
            <w:noWrap w:val="0"/>
            <w:vAlign w:val="center"/>
          </w:tcPr>
          <w:p w14:paraId="003957F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5.74</w:t>
            </w:r>
          </w:p>
        </w:tc>
        <w:tc>
          <w:tcPr>
            <w:tcW w:w="776" w:type="pct"/>
            <w:noWrap w:val="0"/>
            <w:vAlign w:val="center"/>
          </w:tcPr>
          <w:p w14:paraId="183D363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7.26</w:t>
            </w:r>
          </w:p>
        </w:tc>
      </w:tr>
      <w:tr w14:paraId="6E0B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9" w:type="pct"/>
            <w:vMerge w:val="continue"/>
            <w:noWrap w:val="0"/>
            <w:vAlign w:val="center"/>
          </w:tcPr>
          <w:p w14:paraId="60151C15">
            <w:pPr>
              <w:pStyle w:val="17"/>
              <w:kinsoku/>
              <w:wordWrap/>
              <w:topLinePunct w:val="0"/>
              <w:autoSpaceDE/>
              <w:autoSpaceDN/>
              <w:bidi w:val="0"/>
              <w:adjustRightInd/>
              <w:snapToGrid/>
              <w:textAlignment w:val="auto"/>
              <w:rPr>
                <w:rFonts w:hint="default" w:ascii="Times New Roman" w:hAnsi="Times New Roman" w:cs="Times New Roman"/>
              </w:rPr>
            </w:pPr>
          </w:p>
        </w:tc>
        <w:tc>
          <w:tcPr>
            <w:tcW w:w="1361" w:type="pct"/>
            <w:noWrap/>
            <w:vAlign w:val="center"/>
          </w:tcPr>
          <w:p w14:paraId="4834564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用水效率（%）</w:t>
            </w:r>
          </w:p>
        </w:tc>
        <w:tc>
          <w:tcPr>
            <w:tcW w:w="778" w:type="pct"/>
            <w:noWrap/>
            <w:vAlign w:val="center"/>
          </w:tcPr>
          <w:p w14:paraId="3DC8DE4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10.50%</w:t>
            </w:r>
          </w:p>
        </w:tc>
        <w:tc>
          <w:tcPr>
            <w:tcW w:w="778" w:type="pct"/>
            <w:noWrap/>
            <w:vAlign w:val="center"/>
          </w:tcPr>
          <w:p w14:paraId="1F3050B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6.70%</w:t>
            </w:r>
          </w:p>
        </w:tc>
        <w:tc>
          <w:tcPr>
            <w:tcW w:w="778" w:type="pct"/>
            <w:noWrap w:val="0"/>
            <w:vAlign w:val="center"/>
          </w:tcPr>
          <w:p w14:paraId="35941ED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6.48%</w:t>
            </w:r>
          </w:p>
        </w:tc>
        <w:tc>
          <w:tcPr>
            <w:tcW w:w="776" w:type="pct"/>
            <w:noWrap w:val="0"/>
            <w:vAlign w:val="center"/>
          </w:tcPr>
          <w:p w14:paraId="0DBB9AE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5.23%</w:t>
            </w:r>
          </w:p>
        </w:tc>
      </w:tr>
    </w:tbl>
    <w:p w14:paraId="5DC99DA5">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p>
    <w:p w14:paraId="0E284460">
      <w:pPr>
        <w:kinsoku/>
        <w:wordWrap/>
        <w:topLinePunct w:val="0"/>
        <w:autoSpaceDE/>
        <w:autoSpaceDN/>
        <w:bidi w:val="0"/>
        <w:adjustRightInd/>
        <w:snapToGrid/>
        <w:textAlignment w:val="auto"/>
        <w:rPr>
          <w:rFonts w:hint="default" w:ascii="Times New Roman" w:hAnsi="Times New Roman" w:eastAsia="宋体" w:cs="Times New Roman"/>
          <w:color w:val="auto"/>
          <w:sz w:val="24"/>
          <w:szCs w:val="24"/>
        </w:rPr>
      </w:pPr>
      <w:r>
        <w:rPr>
          <w:rFonts w:hint="default" w:ascii="Times New Roman" w:hAnsi="Times New Roman" w:cs="Times New Roman"/>
        </w:rPr>
        <w:t>在人均水资源量方面，2015年-2018年人均水资源占有量分别为1601.67立方米/人、2484.31立方米/人、2720.43立方米/人、3657.23立方米/人。详见下表</w:t>
      </w:r>
      <w:r>
        <w:rPr>
          <w:rFonts w:hint="default" w:ascii="Times New Roman" w:hAnsi="Times New Roman" w:cs="Times New Roman"/>
          <w:lang w:eastAsia="zh-CN"/>
        </w:rPr>
        <w:t>。</w:t>
      </w:r>
    </w:p>
    <w:p w14:paraId="1D2A5222">
      <w:pPr>
        <w:pStyle w:val="16"/>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1-15</w:t>
      </w:r>
      <w:r>
        <w:rPr>
          <w:rFonts w:hint="default" w:ascii="Times New Roman" w:hAnsi="Times New Roman" w:cs="Times New Roman"/>
        </w:rPr>
        <w:t>江源区用水效率统计表</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222"/>
        <w:gridCol w:w="1112"/>
        <w:gridCol w:w="1113"/>
        <w:gridCol w:w="1112"/>
        <w:gridCol w:w="1112"/>
      </w:tblGrid>
      <w:tr w14:paraId="687E0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7" w:type="pct"/>
            <w:noWrap w:val="0"/>
            <w:vAlign w:val="center"/>
          </w:tcPr>
          <w:p w14:paraId="3D6250F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年份</w:t>
            </w:r>
          </w:p>
        </w:tc>
        <w:tc>
          <w:tcPr>
            <w:tcW w:w="1890" w:type="pct"/>
            <w:noWrap w:val="0"/>
            <w:vAlign w:val="center"/>
          </w:tcPr>
          <w:p w14:paraId="00BCAA9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项目</w:t>
            </w:r>
          </w:p>
        </w:tc>
        <w:tc>
          <w:tcPr>
            <w:tcW w:w="652" w:type="pct"/>
            <w:noWrap w:val="0"/>
            <w:vAlign w:val="center"/>
          </w:tcPr>
          <w:p w14:paraId="65DC8D2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2015</w:t>
            </w:r>
          </w:p>
        </w:tc>
        <w:tc>
          <w:tcPr>
            <w:tcW w:w="653" w:type="pct"/>
            <w:noWrap w:val="0"/>
            <w:vAlign w:val="center"/>
          </w:tcPr>
          <w:p w14:paraId="19E1944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2016</w:t>
            </w:r>
          </w:p>
        </w:tc>
        <w:tc>
          <w:tcPr>
            <w:tcW w:w="652" w:type="pct"/>
            <w:noWrap w:val="0"/>
            <w:vAlign w:val="center"/>
          </w:tcPr>
          <w:p w14:paraId="683CB04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2017</w:t>
            </w:r>
          </w:p>
        </w:tc>
        <w:tc>
          <w:tcPr>
            <w:tcW w:w="652" w:type="pct"/>
            <w:noWrap w:val="0"/>
            <w:vAlign w:val="center"/>
          </w:tcPr>
          <w:p w14:paraId="5D5BD38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2018</w:t>
            </w:r>
          </w:p>
        </w:tc>
      </w:tr>
      <w:tr w14:paraId="64FC9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7" w:type="pct"/>
            <w:vMerge w:val="restart"/>
            <w:noWrap/>
            <w:vAlign w:val="center"/>
          </w:tcPr>
          <w:p w14:paraId="72A6CC0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江源区</w:t>
            </w:r>
          </w:p>
        </w:tc>
        <w:tc>
          <w:tcPr>
            <w:tcW w:w="1890" w:type="pct"/>
            <w:noWrap/>
            <w:vAlign w:val="center"/>
          </w:tcPr>
          <w:p w14:paraId="4ED4513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人均用水量（立方米/人）</w:t>
            </w:r>
          </w:p>
        </w:tc>
        <w:tc>
          <w:tcPr>
            <w:tcW w:w="652" w:type="pct"/>
            <w:noWrap/>
            <w:vAlign w:val="center"/>
          </w:tcPr>
          <w:p w14:paraId="14EF0DD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168.20</w:t>
            </w:r>
          </w:p>
        </w:tc>
        <w:tc>
          <w:tcPr>
            <w:tcW w:w="653" w:type="pct"/>
            <w:noWrap/>
            <w:vAlign w:val="center"/>
          </w:tcPr>
          <w:p w14:paraId="224691D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166.38</w:t>
            </w:r>
          </w:p>
        </w:tc>
        <w:tc>
          <w:tcPr>
            <w:tcW w:w="652" w:type="pct"/>
            <w:noWrap w:val="0"/>
            <w:vAlign w:val="center"/>
          </w:tcPr>
          <w:p w14:paraId="17AC0A2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176.31</w:t>
            </w:r>
          </w:p>
        </w:tc>
        <w:tc>
          <w:tcPr>
            <w:tcW w:w="652" w:type="pct"/>
            <w:noWrap w:val="0"/>
            <w:vAlign w:val="center"/>
          </w:tcPr>
          <w:p w14:paraId="2B3D484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191.43</w:t>
            </w:r>
          </w:p>
        </w:tc>
      </w:tr>
      <w:tr w14:paraId="3D40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7" w:type="pct"/>
            <w:vMerge w:val="continue"/>
            <w:noWrap w:val="0"/>
            <w:vAlign w:val="center"/>
          </w:tcPr>
          <w:p w14:paraId="11298345">
            <w:pPr>
              <w:pStyle w:val="17"/>
              <w:kinsoku/>
              <w:wordWrap/>
              <w:topLinePunct w:val="0"/>
              <w:autoSpaceDE/>
              <w:autoSpaceDN/>
              <w:bidi w:val="0"/>
              <w:adjustRightInd/>
              <w:snapToGrid/>
              <w:textAlignment w:val="auto"/>
              <w:rPr>
                <w:rFonts w:hint="default" w:ascii="Times New Roman" w:hAnsi="Times New Roman" w:cs="Times New Roman"/>
              </w:rPr>
            </w:pPr>
          </w:p>
        </w:tc>
        <w:tc>
          <w:tcPr>
            <w:tcW w:w="1890" w:type="pct"/>
            <w:noWrap/>
            <w:vAlign w:val="center"/>
          </w:tcPr>
          <w:p w14:paraId="08085EF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人均水资源占有量（立方米/人）</w:t>
            </w:r>
          </w:p>
        </w:tc>
        <w:tc>
          <w:tcPr>
            <w:tcW w:w="652" w:type="pct"/>
            <w:noWrap/>
            <w:vAlign w:val="center"/>
          </w:tcPr>
          <w:p w14:paraId="4CBDB8A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1601.67</w:t>
            </w:r>
          </w:p>
        </w:tc>
        <w:tc>
          <w:tcPr>
            <w:tcW w:w="653" w:type="pct"/>
            <w:noWrap/>
            <w:vAlign w:val="center"/>
          </w:tcPr>
          <w:p w14:paraId="2FD84E2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2484.31</w:t>
            </w:r>
          </w:p>
        </w:tc>
        <w:tc>
          <w:tcPr>
            <w:tcW w:w="652" w:type="pct"/>
            <w:noWrap w:val="0"/>
            <w:vAlign w:val="center"/>
          </w:tcPr>
          <w:p w14:paraId="79C374A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2720.43</w:t>
            </w:r>
          </w:p>
        </w:tc>
        <w:tc>
          <w:tcPr>
            <w:tcW w:w="652" w:type="pct"/>
            <w:noWrap w:val="0"/>
            <w:vAlign w:val="center"/>
          </w:tcPr>
          <w:p w14:paraId="650564B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3657.23</w:t>
            </w:r>
          </w:p>
        </w:tc>
      </w:tr>
    </w:tbl>
    <w:p w14:paraId="008FE65B">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p>
    <w:p w14:paraId="7BE0AB9D">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（3）矿泉水资源利用情况</w:t>
      </w:r>
    </w:p>
    <w:p w14:paraId="1F3CC90E">
      <w:pPr>
        <w:kinsoku/>
        <w:wordWrap/>
        <w:topLinePunct w:val="0"/>
        <w:autoSpaceDE/>
        <w:autoSpaceDN/>
        <w:bidi w:val="0"/>
        <w:adjustRightInd/>
        <w:snapToGrid/>
        <w:textAlignment w:val="auto"/>
        <w:rPr>
          <w:rFonts w:hint="default" w:ascii="Times New Roman" w:hAnsi="Times New Roman" w:eastAsia="宋体" w:cs="Times New Roman"/>
          <w:color w:val="auto"/>
          <w:szCs w:val="24"/>
        </w:rPr>
      </w:pPr>
      <w:r>
        <w:rPr>
          <w:rFonts w:hint="default" w:ascii="Times New Roman" w:hAnsi="Times New Roman" w:cs="Times New Roman"/>
        </w:rPr>
        <w:t>白山地区火山地貌完整，生态环境优越，水文地质条件独特，综合形成了优质天然矿泉水资源。江源区拥有十分丰富的山泉水资源，目前已勘探可开发矿点30余处，可供开采利用矿点10余处，其中日涌量大于2000吨的四处，其中位于长白山老岭山麓天然森林中的白水泉，日涌量超过10000吨，是国内唯一的一处天然麦饭石山泉。</w:t>
      </w:r>
    </w:p>
    <w:p w14:paraId="40DB65F0">
      <w:pPr>
        <w:pStyle w:val="3"/>
        <w:kinsoku/>
        <w:wordWrap/>
        <w:topLinePunct w:val="0"/>
        <w:autoSpaceDE/>
        <w:autoSpaceDN/>
        <w:bidi w:val="0"/>
        <w:adjustRightInd/>
        <w:snapToGrid/>
        <w:textAlignment w:val="auto"/>
        <w:rPr>
          <w:rFonts w:hint="default" w:ascii="Times New Roman" w:hAnsi="Times New Roman" w:cs="Times New Roman"/>
        </w:rPr>
      </w:pPr>
      <w:bookmarkStart w:id="45" w:name="_Toc22391"/>
      <w:bookmarkStart w:id="46" w:name="_Toc82172415"/>
      <w:r>
        <w:rPr>
          <w:rFonts w:hint="default" w:ascii="Times New Roman" w:hAnsi="Times New Roman" w:cs="Times New Roman"/>
        </w:rPr>
        <w:t>水环境风险状况</w:t>
      </w:r>
      <w:bookmarkEnd w:id="45"/>
      <w:bookmarkEnd w:id="46"/>
    </w:p>
    <w:p w14:paraId="4559D430">
      <w:pPr>
        <w:pStyle w:val="4"/>
        <w:kinsoku/>
        <w:wordWrap/>
        <w:topLinePunct w:val="0"/>
        <w:autoSpaceDE/>
        <w:autoSpaceDN/>
        <w:bidi w:val="0"/>
        <w:adjustRightInd/>
        <w:snapToGrid/>
        <w:textAlignment w:val="auto"/>
        <w:rPr>
          <w:rFonts w:hint="default" w:ascii="Times New Roman" w:hAnsi="Times New Roman" w:cs="Times New Roman"/>
        </w:rPr>
      </w:pPr>
      <w:bookmarkStart w:id="47" w:name="_Toc82172416"/>
      <w:bookmarkStart w:id="48" w:name="_Toc25692"/>
      <w:r>
        <w:rPr>
          <w:rFonts w:hint="default" w:ascii="Times New Roman" w:hAnsi="Times New Roman" w:cs="Times New Roman"/>
        </w:rPr>
        <w:t>尾矿污染风险</w:t>
      </w:r>
      <w:bookmarkEnd w:id="47"/>
      <w:bookmarkEnd w:id="48"/>
    </w:p>
    <w:p w14:paraId="43870868">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白山市共有35处尾矿，主要分布在浑江区和江源区，尾矿库种类以选矿尾矿库和铁矿库为主，重金属尾矿库共3个，为铅锌矿（已停用）、锌金矿（在用）和铜钼矿（已停用）；仅有1个环境风险（金矿）较大，目前重新启用。</w:t>
      </w:r>
    </w:p>
    <w:p w14:paraId="10CB88DA">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尾矿库在企业生产过程中，其排渗、筑坝、回水等多个环节存在重金属污染风险，影响尾矿库周边地表水及地下水水质，存在较大水环境风险。</w:t>
      </w:r>
    </w:p>
    <w:p w14:paraId="0C65638D">
      <w:pPr>
        <w:pStyle w:val="4"/>
        <w:kinsoku/>
        <w:wordWrap/>
        <w:topLinePunct w:val="0"/>
        <w:autoSpaceDE/>
        <w:autoSpaceDN/>
        <w:bidi w:val="0"/>
        <w:adjustRightInd/>
        <w:snapToGrid/>
        <w:textAlignment w:val="auto"/>
        <w:rPr>
          <w:rFonts w:hint="default" w:ascii="Times New Roman" w:hAnsi="Times New Roman" w:cs="Times New Roman"/>
        </w:rPr>
      </w:pPr>
      <w:bookmarkStart w:id="49" w:name="_Toc9942"/>
      <w:bookmarkStart w:id="50" w:name="_Toc82172417"/>
      <w:r>
        <w:rPr>
          <w:rFonts w:hint="default" w:ascii="Times New Roman" w:hAnsi="Times New Roman" w:cs="Times New Roman"/>
        </w:rPr>
        <w:t>水土流失风险</w:t>
      </w:r>
      <w:bookmarkEnd w:id="49"/>
      <w:bookmarkEnd w:id="50"/>
    </w:p>
    <w:p w14:paraId="366B3935">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白山市现有水土流失面积2140.29km</w:t>
      </w:r>
      <w:r>
        <w:rPr>
          <w:rFonts w:hint="default" w:ascii="Times New Roman" w:hAnsi="Times New Roman" w:cs="Times New Roman"/>
          <w:vertAlign w:val="superscript"/>
        </w:rPr>
        <w:t>2</w:t>
      </w:r>
      <w:r>
        <w:rPr>
          <w:rFonts w:hint="default" w:ascii="Times New Roman" w:hAnsi="Times New Roman" w:cs="Times New Roman"/>
        </w:rPr>
        <w:t>，占全市土地总面积的12.23%，其中中度以上侵蚀面积1225.97km</w:t>
      </w:r>
      <w:r>
        <w:rPr>
          <w:rFonts w:hint="default" w:ascii="Times New Roman" w:hAnsi="Times New Roman" w:cs="Times New Roman"/>
          <w:vertAlign w:val="superscript"/>
        </w:rPr>
        <w:t>2</w:t>
      </w:r>
      <w:r>
        <w:rPr>
          <w:rFonts w:hint="default" w:ascii="Times New Roman" w:hAnsi="Times New Roman" w:cs="Times New Roman"/>
        </w:rPr>
        <w:t>，占侵蚀总面积的57.28%。水土流失土壤中的大量有机物、化肥、农药等农业污染物，随着水土流失进入下游湖库，易造成水体面源污染、水质超标和富营养化，影响地表水环境、水源地水质，对饮水安全构成危害。</w:t>
      </w:r>
    </w:p>
    <w:p w14:paraId="3B7651D7">
      <w:pPr>
        <w:pStyle w:val="3"/>
        <w:bidi w:val="0"/>
        <w:rPr>
          <w:rFonts w:hint="default"/>
        </w:rPr>
      </w:pPr>
      <w:bookmarkStart w:id="51" w:name="_Toc14745"/>
      <w:bookmarkStart w:id="52" w:name="_Toc82172418"/>
      <w:r>
        <w:rPr>
          <w:rFonts w:hint="default"/>
        </w:rPr>
        <w:t>“十三五”成效经验</w:t>
      </w:r>
      <w:bookmarkEnd w:id="51"/>
    </w:p>
    <w:p w14:paraId="4A208121">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（1）工作成效</w:t>
      </w:r>
    </w:p>
    <w:p w14:paraId="35968CE6">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白山市遵循“生态立市”的发展理念，狠抓水环境生态保护及治理，以最坚决的态度、最迅速的行动、最在力的举措，深入推进碧水保卫战。白山市河流水质主要监测断面100%达到或优于Ⅲ类水质标准，其中9个断面达到或优于Ⅱ类水质标准；100%消除建成区黑臭水体；县级以上集中式饮用水源水质达标率100%，水环境质量全省第一。</w:t>
      </w:r>
    </w:p>
    <w:p w14:paraId="7856C4BB">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江源区</w:t>
      </w:r>
      <w:r>
        <w:rPr>
          <w:rFonts w:hint="eastAsia" w:cs="Times New Roman"/>
          <w:lang w:val="en-US" w:eastAsia="zh-CN"/>
        </w:rPr>
        <w:t>在“</w:t>
      </w:r>
      <w:r>
        <w:rPr>
          <w:rFonts w:hint="default" w:ascii="Times New Roman" w:hAnsi="Times New Roman" w:cs="Times New Roman"/>
        </w:rPr>
        <w:t>十三五</w:t>
      </w:r>
      <w:r>
        <w:rPr>
          <w:rFonts w:hint="eastAsia" w:cs="Times New Roman"/>
          <w:lang w:eastAsia="zh-CN"/>
        </w:rPr>
        <w:t>”</w:t>
      </w:r>
      <w:r>
        <w:rPr>
          <w:rFonts w:hint="default" w:ascii="Times New Roman" w:hAnsi="Times New Roman" w:cs="Times New Roman"/>
        </w:rPr>
        <w:t>期间，通过扎实推进碧水保卫战各项任务落地落细、取得实效。在水质提升工程治理方面。全县区完成入河排污口整治，达到了生活污水不直排入河的要求。饮用水源水质达标率为100%。全区“千吨万人”水源地全部完成区划工作。全区41个行政村全部建立了生活垃圾收运处置体系，完成率100%。深入开展农业农村面源污染防治。</w:t>
      </w:r>
    </w:p>
    <w:p w14:paraId="2313F5E5">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围绕贯彻落实市委市政府提出的“生态立市、产业强市、特色兴市”发展战略，在全国范围内率先提出建设中国绿色有机谷•长白山森林食药城，全力打造生态农业新格局，围绕推进农药、化肥“双减半”，组织实施了“退粮进特”、“退耕还林”、休耕轮作、有机肥替代行动等攻坚任务。“一谷一城”建设成效显著，全区5个基地列为“一谷一城”绿色种植示范基地，林源春被列为国家级蓝莓加工与生产标准化示范区。种植业结构调整不断加快，调减籽粒玉米2.4万亩，“五色彩带”建设持续深入，特色作物种植面积达3.6万亩，总产值达3.6亿元。农药化肥使用量分别下降52.7%、51%，超额完成“双减半”工作任务，特色农业种植标准化基地达到26个。</w:t>
      </w:r>
    </w:p>
    <w:p w14:paraId="6D02461E">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国家“山水林田湖草”生态保护修复工程项目持续推进，生态修复335公顷，土地整治173公顷，地质灾害治理117公顷。“清四乱”专项行动扎实推进，清理河道400公里，违法乱采行为得到有效遏制。积极组织“全民共建、绿美江源”系列活动，森林覆盖率稳定在77%。全区水源地水质达到100%，建成区低排餐饮业整治率100%。全年中心城区优良天数达320天以上。142项历史遗留环境问题全面整改到位，生态环境保护取得明显成效。</w:t>
      </w:r>
    </w:p>
    <w:p w14:paraId="04BC8644">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（2）经验总结</w:t>
      </w:r>
    </w:p>
    <w:p w14:paraId="76104AA9">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按时保质完成《吉林省落实水污染防治行动计划工作方案》、《吉林省重点流域水污染防治规划（2016-2020年）》、《吉林省清洁水体行动计划（2016-2020年）》、《吉林省重点流域劣五类专项治理和水质提升方案（2019-2020年）》、《吉林省辽河流域水污染治理与生态修复综合规划（2018-2035年）》等年度重点任务，制定出台《白山市落实水污染防治行动计划实施方案》，按月调度全市水污染防治行动计划工作进展，上报省水十条调度平台，按年度完成白山市落实水污染防治行动计划实施情况的自查报告上报工作。</w:t>
      </w:r>
    </w:p>
    <w:p w14:paraId="5137D0A8">
      <w:pPr>
        <w:pStyle w:val="3"/>
        <w:kinsoku/>
        <w:wordWrap/>
        <w:topLinePunct w:val="0"/>
        <w:autoSpaceDE/>
        <w:autoSpaceDN/>
        <w:bidi w:val="0"/>
        <w:adjustRightInd/>
        <w:snapToGrid/>
        <w:textAlignment w:val="auto"/>
        <w:rPr>
          <w:rFonts w:hint="default" w:ascii="Times New Roman" w:hAnsi="Times New Roman" w:cs="Times New Roman"/>
        </w:rPr>
      </w:pPr>
      <w:bookmarkStart w:id="53" w:name="_Toc29095"/>
      <w:r>
        <w:rPr>
          <w:rFonts w:hint="default" w:ascii="Times New Roman" w:hAnsi="Times New Roman" w:cs="Times New Roman"/>
        </w:rPr>
        <w:t>主要问题识别</w:t>
      </w:r>
      <w:bookmarkEnd w:id="52"/>
      <w:bookmarkEnd w:id="53"/>
    </w:p>
    <w:p w14:paraId="10CC4D08">
      <w:pPr>
        <w:pStyle w:val="4"/>
        <w:kinsoku/>
        <w:wordWrap/>
        <w:topLinePunct w:val="0"/>
        <w:autoSpaceDE/>
        <w:autoSpaceDN/>
        <w:bidi w:val="0"/>
        <w:adjustRightInd/>
        <w:snapToGrid/>
        <w:textAlignment w:val="auto"/>
        <w:rPr>
          <w:rFonts w:hint="default" w:ascii="Times New Roman" w:hAnsi="Times New Roman" w:cs="Times New Roman"/>
        </w:rPr>
      </w:pPr>
      <w:bookmarkStart w:id="54" w:name="_Toc82172419"/>
      <w:bookmarkStart w:id="55" w:name="_Toc15273"/>
      <w:r>
        <w:rPr>
          <w:rFonts w:hint="default" w:ascii="Times New Roman" w:hAnsi="Times New Roman" w:cs="Times New Roman"/>
        </w:rPr>
        <w:t>江源（浑）/大阳岔断面汇水范围</w:t>
      </w:r>
      <w:bookmarkEnd w:id="54"/>
      <w:bookmarkEnd w:id="55"/>
    </w:p>
    <w:p w14:paraId="4B5EC4BC">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江源（浑）/大阳岔汇水范围位于白山市江源区，其所在水体为浑江，汇水范围内包括江源（浑）/大阳岔汇水范围涉及江源区4个乡镇级行政区，分别是城墙街道、孙家堡子街道、正岔街道和大阳岔镇，至2019年，该汇水范围内总人口为8.0043万人，其中城镇人口7.3545万人，2019年实现地区生产总值80.81亿元，其中工业增加值39.3亿元。江源（浑）/大阳岔汇水范围如前文图3-1所示。</w:t>
      </w:r>
    </w:p>
    <w:p w14:paraId="7AB894BE">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十三五”期间，江源（浑）/大阳岔2个断面水质有所提高，江源浑断面由Ⅲ类提升至Ⅱ类，大阳岔断面由Ⅱ类提升到Ⅰ类；江源（浑）/大阳岔断面汇水范围内无成型灌区，无鱼塘补水；工业增加值逐年降低，年均工业增加值为24.1587亿元，占白山市的8.39%，略低于白山市平均水平；无耕地，无牲畜养殖。未来五年工业、种植业和畜牧业的发展对区域水环境造成的压力较小。</w:t>
      </w:r>
    </w:p>
    <w:p w14:paraId="3F59512C">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十三五”期间，江源（浑）/大阳岔断面汇水范围内水资源总量有一定程度的增加，年均水资源总量为2.1422亿立方米，占白山市总量的2.52%，在全市水资源量最少。该汇水范围内有无水电站，对河流生态流量无影响。</w:t>
      </w:r>
    </w:p>
    <w:p w14:paraId="6B7FB67A">
      <w:pPr>
        <w:pStyle w:val="5"/>
        <w:kinsoku/>
        <w:wordWrap/>
        <w:topLinePunct w:val="0"/>
        <w:autoSpaceDE/>
        <w:autoSpaceDN/>
        <w:bidi w:val="0"/>
        <w:adjustRightInd/>
        <w:snapToGrid/>
        <w:spacing w:before="0" w:after="0"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问题分析</w:t>
      </w:r>
    </w:p>
    <w:p w14:paraId="6F3DD949">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①江源（浑）考核断面水质不能稳定达标，存在化学需氧量超标、总磷超标</w:t>
      </w:r>
    </w:p>
    <w:p w14:paraId="207ED446">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考核断面水质不能稳定达标，考核项目内化学需氧量超标、总磷超标。江源（浑）/大阳岔汇水范围内有两个考核断面，其中大阳岔断面为国控断面，考核水质为II类，“十三五”期间水质年均值均保持</w:t>
      </w:r>
      <w:r>
        <w:rPr>
          <w:rFonts w:hint="default" w:ascii="Times New Roman" w:hAnsi="Times New Roman" w:cs="Times New Roman"/>
        </w:rPr>
        <w:fldChar w:fldCharType="begin"/>
      </w:r>
      <w:r>
        <w:rPr>
          <w:rFonts w:hint="default" w:ascii="Times New Roman" w:hAnsi="Times New Roman" w:cs="Times New Roman"/>
        </w:rPr>
        <w:instrText xml:space="preserve"> = 2 \* ROMAN </w:instrText>
      </w:r>
      <w:r>
        <w:rPr>
          <w:rFonts w:hint="default" w:ascii="Times New Roman" w:hAnsi="Times New Roman" w:cs="Times New Roman"/>
        </w:rPr>
        <w:fldChar w:fldCharType="separate"/>
      </w:r>
      <w:r>
        <w:rPr>
          <w:rFonts w:hint="default" w:ascii="Times New Roman" w:hAnsi="Times New Roman" w:cs="Times New Roman"/>
        </w:rPr>
        <w:t>II</w:t>
      </w:r>
      <w:r>
        <w:rPr>
          <w:rFonts w:hint="default" w:ascii="Times New Roman" w:hAnsi="Times New Roman" w:cs="Times New Roman"/>
        </w:rPr>
        <w:fldChar w:fldCharType="end"/>
      </w:r>
      <w:r>
        <w:rPr>
          <w:rFonts w:hint="default" w:ascii="Times New Roman" w:hAnsi="Times New Roman" w:cs="Times New Roman"/>
        </w:rPr>
        <w:t>类；江源（浑）断面为地表水省控断面，为“十三五”新增考核断面，水功能区的水质目标为III类，2018年3、5、6、9月份存在化学需氧量超标问题，超标倍数分别为0.1、0.2、0.1、0.25倍，2017年11月份和2018年3月存在总磷超标问题，超标倍数分别为0.1和0.4倍。详细见下表。</w:t>
      </w:r>
    </w:p>
    <w:p w14:paraId="45ECDAAC">
      <w:pPr>
        <w:pStyle w:val="16"/>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1-16</w:t>
      </w:r>
      <w:r>
        <w:rPr>
          <w:rFonts w:hint="default" w:ascii="Times New Roman" w:hAnsi="Times New Roman" w:cs="Times New Roman"/>
        </w:rPr>
        <w:t>江源（浑）/大阳岔断面年均水质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28"/>
        <w:gridCol w:w="1060"/>
        <w:gridCol w:w="1062"/>
        <w:gridCol w:w="1062"/>
        <w:gridCol w:w="1062"/>
        <w:gridCol w:w="639"/>
        <w:gridCol w:w="639"/>
        <w:gridCol w:w="639"/>
        <w:gridCol w:w="639"/>
        <w:gridCol w:w="639"/>
        <w:gridCol w:w="653"/>
      </w:tblGrid>
      <w:tr w14:paraId="271C3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5" w:hRule="atLeast"/>
          <w:jc w:val="center"/>
        </w:trPr>
        <w:tc>
          <w:tcPr>
            <w:tcW w:w="251" w:type="pct"/>
            <w:vMerge w:val="restart"/>
            <w:shd w:val="clear" w:color="auto" w:fill="auto"/>
            <w:noWrap w:val="0"/>
            <w:vAlign w:val="center"/>
          </w:tcPr>
          <w:p w14:paraId="372C15A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流域</w:t>
            </w:r>
          </w:p>
        </w:tc>
        <w:tc>
          <w:tcPr>
            <w:tcW w:w="622" w:type="pct"/>
            <w:vMerge w:val="restart"/>
            <w:shd w:val="clear" w:color="auto" w:fill="auto"/>
            <w:noWrap w:val="0"/>
            <w:vAlign w:val="center"/>
          </w:tcPr>
          <w:p w14:paraId="5714DFA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汇水范围</w:t>
            </w:r>
          </w:p>
        </w:tc>
        <w:tc>
          <w:tcPr>
            <w:tcW w:w="623" w:type="pct"/>
            <w:vMerge w:val="restart"/>
            <w:shd w:val="clear" w:color="auto" w:fill="auto"/>
            <w:noWrap w:val="0"/>
            <w:vAlign w:val="center"/>
          </w:tcPr>
          <w:p w14:paraId="0CC7DF3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断面名称</w:t>
            </w:r>
          </w:p>
        </w:tc>
        <w:tc>
          <w:tcPr>
            <w:tcW w:w="623" w:type="pct"/>
            <w:vMerge w:val="restart"/>
            <w:shd w:val="clear" w:color="auto" w:fill="auto"/>
            <w:noWrap w:val="0"/>
            <w:vAlign w:val="center"/>
          </w:tcPr>
          <w:p w14:paraId="73AB102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所在水体</w:t>
            </w:r>
          </w:p>
        </w:tc>
        <w:tc>
          <w:tcPr>
            <w:tcW w:w="623" w:type="pct"/>
            <w:vMerge w:val="restart"/>
            <w:shd w:val="clear" w:color="auto" w:fill="auto"/>
            <w:noWrap w:val="0"/>
            <w:vAlign w:val="center"/>
          </w:tcPr>
          <w:p w14:paraId="61823B6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断面级别</w:t>
            </w:r>
          </w:p>
        </w:tc>
        <w:tc>
          <w:tcPr>
            <w:tcW w:w="2260" w:type="pct"/>
            <w:gridSpan w:val="6"/>
            <w:shd w:val="clear" w:color="auto" w:fill="auto"/>
            <w:noWrap w:val="0"/>
            <w:vAlign w:val="center"/>
          </w:tcPr>
          <w:p w14:paraId="56C1F8D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水质状况</w:t>
            </w:r>
          </w:p>
        </w:tc>
      </w:tr>
      <w:tr w14:paraId="47BD8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251" w:type="pct"/>
            <w:vMerge w:val="continue"/>
            <w:shd w:val="clear" w:color="auto" w:fill="auto"/>
            <w:noWrap w:val="0"/>
            <w:vAlign w:val="center"/>
          </w:tcPr>
          <w:p w14:paraId="2160E384">
            <w:pPr>
              <w:pStyle w:val="17"/>
              <w:kinsoku/>
              <w:wordWrap/>
              <w:topLinePunct w:val="0"/>
              <w:autoSpaceDE/>
              <w:autoSpaceDN/>
              <w:bidi w:val="0"/>
              <w:adjustRightInd/>
              <w:snapToGrid/>
              <w:textAlignment w:val="auto"/>
              <w:rPr>
                <w:rFonts w:hint="default" w:ascii="Times New Roman" w:hAnsi="Times New Roman" w:cs="Times New Roman"/>
              </w:rPr>
            </w:pPr>
          </w:p>
        </w:tc>
        <w:tc>
          <w:tcPr>
            <w:tcW w:w="622" w:type="pct"/>
            <w:vMerge w:val="continue"/>
            <w:shd w:val="clear" w:color="auto" w:fill="auto"/>
            <w:noWrap w:val="0"/>
            <w:vAlign w:val="center"/>
          </w:tcPr>
          <w:p w14:paraId="781D1AE4">
            <w:pPr>
              <w:pStyle w:val="17"/>
              <w:kinsoku/>
              <w:wordWrap/>
              <w:topLinePunct w:val="0"/>
              <w:autoSpaceDE/>
              <w:autoSpaceDN/>
              <w:bidi w:val="0"/>
              <w:adjustRightInd/>
              <w:snapToGrid/>
              <w:textAlignment w:val="auto"/>
              <w:rPr>
                <w:rFonts w:hint="default" w:ascii="Times New Roman" w:hAnsi="Times New Roman" w:cs="Times New Roman"/>
              </w:rPr>
            </w:pPr>
          </w:p>
        </w:tc>
        <w:tc>
          <w:tcPr>
            <w:tcW w:w="623" w:type="pct"/>
            <w:vMerge w:val="continue"/>
            <w:shd w:val="clear" w:color="auto" w:fill="auto"/>
            <w:noWrap w:val="0"/>
            <w:vAlign w:val="center"/>
          </w:tcPr>
          <w:p w14:paraId="3A221E5D">
            <w:pPr>
              <w:pStyle w:val="17"/>
              <w:kinsoku/>
              <w:wordWrap/>
              <w:topLinePunct w:val="0"/>
              <w:autoSpaceDE/>
              <w:autoSpaceDN/>
              <w:bidi w:val="0"/>
              <w:adjustRightInd/>
              <w:snapToGrid/>
              <w:textAlignment w:val="auto"/>
              <w:rPr>
                <w:rFonts w:hint="default" w:ascii="Times New Roman" w:hAnsi="Times New Roman" w:cs="Times New Roman"/>
              </w:rPr>
            </w:pPr>
          </w:p>
        </w:tc>
        <w:tc>
          <w:tcPr>
            <w:tcW w:w="623" w:type="pct"/>
            <w:vMerge w:val="continue"/>
            <w:shd w:val="clear" w:color="auto" w:fill="auto"/>
            <w:noWrap w:val="0"/>
            <w:vAlign w:val="center"/>
          </w:tcPr>
          <w:p w14:paraId="4903F397">
            <w:pPr>
              <w:pStyle w:val="17"/>
              <w:kinsoku/>
              <w:wordWrap/>
              <w:topLinePunct w:val="0"/>
              <w:autoSpaceDE/>
              <w:autoSpaceDN/>
              <w:bidi w:val="0"/>
              <w:adjustRightInd/>
              <w:snapToGrid/>
              <w:textAlignment w:val="auto"/>
              <w:rPr>
                <w:rFonts w:hint="default" w:ascii="Times New Roman" w:hAnsi="Times New Roman" w:cs="Times New Roman"/>
              </w:rPr>
            </w:pPr>
          </w:p>
        </w:tc>
        <w:tc>
          <w:tcPr>
            <w:tcW w:w="623" w:type="pct"/>
            <w:vMerge w:val="continue"/>
            <w:shd w:val="clear" w:color="auto" w:fill="auto"/>
            <w:noWrap w:val="0"/>
            <w:vAlign w:val="center"/>
          </w:tcPr>
          <w:p w14:paraId="697AD504">
            <w:pPr>
              <w:pStyle w:val="17"/>
              <w:kinsoku/>
              <w:wordWrap/>
              <w:topLinePunct w:val="0"/>
              <w:autoSpaceDE/>
              <w:autoSpaceDN/>
              <w:bidi w:val="0"/>
              <w:adjustRightInd/>
              <w:snapToGrid/>
              <w:textAlignment w:val="auto"/>
              <w:rPr>
                <w:rFonts w:hint="default" w:ascii="Times New Roman" w:hAnsi="Times New Roman" w:cs="Times New Roman"/>
              </w:rPr>
            </w:pPr>
          </w:p>
        </w:tc>
        <w:tc>
          <w:tcPr>
            <w:tcW w:w="375" w:type="pct"/>
            <w:shd w:val="clear" w:color="auto" w:fill="auto"/>
            <w:noWrap w:val="0"/>
            <w:vAlign w:val="center"/>
          </w:tcPr>
          <w:p w14:paraId="2BB8F7E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2015年</w:t>
            </w:r>
          </w:p>
        </w:tc>
        <w:tc>
          <w:tcPr>
            <w:tcW w:w="375" w:type="pct"/>
            <w:shd w:val="clear" w:color="auto" w:fill="auto"/>
            <w:noWrap w:val="0"/>
            <w:vAlign w:val="center"/>
          </w:tcPr>
          <w:p w14:paraId="6465793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2016年</w:t>
            </w:r>
          </w:p>
        </w:tc>
        <w:tc>
          <w:tcPr>
            <w:tcW w:w="375" w:type="pct"/>
            <w:shd w:val="clear" w:color="auto" w:fill="auto"/>
            <w:noWrap w:val="0"/>
            <w:vAlign w:val="center"/>
          </w:tcPr>
          <w:p w14:paraId="595851D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2017年</w:t>
            </w:r>
          </w:p>
        </w:tc>
        <w:tc>
          <w:tcPr>
            <w:tcW w:w="375" w:type="pct"/>
            <w:shd w:val="clear" w:color="auto" w:fill="auto"/>
            <w:noWrap w:val="0"/>
            <w:vAlign w:val="center"/>
          </w:tcPr>
          <w:p w14:paraId="5ACADEA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2018年</w:t>
            </w:r>
          </w:p>
        </w:tc>
        <w:tc>
          <w:tcPr>
            <w:tcW w:w="375" w:type="pct"/>
            <w:shd w:val="clear" w:color="auto" w:fill="auto"/>
            <w:noWrap w:val="0"/>
            <w:vAlign w:val="center"/>
          </w:tcPr>
          <w:p w14:paraId="2362750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2019年</w:t>
            </w:r>
          </w:p>
        </w:tc>
        <w:tc>
          <w:tcPr>
            <w:tcW w:w="383" w:type="pct"/>
            <w:shd w:val="clear" w:color="auto" w:fill="auto"/>
            <w:noWrap w:val="0"/>
            <w:vAlign w:val="center"/>
          </w:tcPr>
          <w:p w14:paraId="10A274C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2020年</w:t>
            </w:r>
          </w:p>
        </w:tc>
      </w:tr>
      <w:tr w14:paraId="315DA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251" w:type="pct"/>
            <w:vMerge w:val="restart"/>
            <w:shd w:val="clear" w:color="auto" w:fill="auto"/>
            <w:noWrap w:val="0"/>
            <w:vAlign w:val="center"/>
          </w:tcPr>
          <w:p w14:paraId="08C0154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辽河</w:t>
            </w:r>
          </w:p>
        </w:tc>
        <w:tc>
          <w:tcPr>
            <w:tcW w:w="622" w:type="pct"/>
            <w:vMerge w:val="restart"/>
            <w:shd w:val="clear" w:color="auto" w:fill="auto"/>
            <w:noWrap w:val="0"/>
            <w:vAlign w:val="center"/>
          </w:tcPr>
          <w:p w14:paraId="50B92DD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江源（浑）/大阳岔</w:t>
            </w:r>
          </w:p>
        </w:tc>
        <w:tc>
          <w:tcPr>
            <w:tcW w:w="623" w:type="pct"/>
            <w:shd w:val="clear" w:color="auto" w:fill="auto"/>
            <w:noWrap w:val="0"/>
            <w:vAlign w:val="center"/>
          </w:tcPr>
          <w:p w14:paraId="43684F2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江源（浑）</w:t>
            </w:r>
          </w:p>
        </w:tc>
        <w:tc>
          <w:tcPr>
            <w:tcW w:w="623" w:type="pct"/>
            <w:shd w:val="clear" w:color="auto" w:fill="auto"/>
            <w:noWrap w:val="0"/>
            <w:vAlign w:val="center"/>
          </w:tcPr>
          <w:p w14:paraId="5FEA993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浑江</w:t>
            </w:r>
          </w:p>
        </w:tc>
        <w:tc>
          <w:tcPr>
            <w:tcW w:w="623" w:type="pct"/>
            <w:shd w:val="clear" w:color="auto" w:fill="auto"/>
            <w:noWrap w:val="0"/>
            <w:vAlign w:val="center"/>
          </w:tcPr>
          <w:p w14:paraId="0B2F843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省控</w:t>
            </w:r>
          </w:p>
        </w:tc>
        <w:tc>
          <w:tcPr>
            <w:tcW w:w="375" w:type="pct"/>
            <w:shd w:val="clear" w:color="auto" w:fill="auto"/>
            <w:noWrap w:val="0"/>
            <w:vAlign w:val="center"/>
          </w:tcPr>
          <w:p w14:paraId="10ABBD1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Ⅲ</w:t>
            </w:r>
          </w:p>
        </w:tc>
        <w:tc>
          <w:tcPr>
            <w:tcW w:w="375" w:type="pct"/>
            <w:shd w:val="clear" w:color="auto" w:fill="auto"/>
            <w:noWrap w:val="0"/>
            <w:vAlign w:val="center"/>
          </w:tcPr>
          <w:p w14:paraId="58EBDCD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Ⅲ</w:t>
            </w:r>
          </w:p>
        </w:tc>
        <w:tc>
          <w:tcPr>
            <w:tcW w:w="375" w:type="pct"/>
            <w:shd w:val="clear" w:color="auto" w:fill="auto"/>
            <w:noWrap w:val="0"/>
            <w:vAlign w:val="center"/>
          </w:tcPr>
          <w:p w14:paraId="4223CC7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Ⅲ</w:t>
            </w:r>
          </w:p>
        </w:tc>
        <w:tc>
          <w:tcPr>
            <w:tcW w:w="375" w:type="pct"/>
            <w:shd w:val="clear" w:color="auto" w:fill="auto"/>
            <w:noWrap w:val="0"/>
            <w:vAlign w:val="center"/>
          </w:tcPr>
          <w:p w14:paraId="26A9FE4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Ⅲ</w:t>
            </w:r>
          </w:p>
        </w:tc>
        <w:tc>
          <w:tcPr>
            <w:tcW w:w="375" w:type="pct"/>
            <w:shd w:val="clear" w:color="auto" w:fill="auto"/>
            <w:noWrap w:val="0"/>
            <w:vAlign w:val="center"/>
          </w:tcPr>
          <w:p w14:paraId="7545F57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Ⅲ</w:t>
            </w:r>
          </w:p>
        </w:tc>
        <w:tc>
          <w:tcPr>
            <w:tcW w:w="383" w:type="pct"/>
            <w:shd w:val="clear" w:color="auto" w:fill="auto"/>
            <w:noWrap w:val="0"/>
            <w:vAlign w:val="center"/>
          </w:tcPr>
          <w:p w14:paraId="229B131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Ⅱ</w:t>
            </w:r>
          </w:p>
        </w:tc>
      </w:tr>
      <w:tr w14:paraId="6DECA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251" w:type="pct"/>
            <w:vMerge w:val="continue"/>
            <w:shd w:val="clear" w:color="auto" w:fill="auto"/>
            <w:noWrap w:val="0"/>
            <w:vAlign w:val="center"/>
          </w:tcPr>
          <w:p w14:paraId="4B1D3F2B">
            <w:pPr>
              <w:pStyle w:val="17"/>
              <w:kinsoku/>
              <w:wordWrap/>
              <w:topLinePunct w:val="0"/>
              <w:autoSpaceDE/>
              <w:autoSpaceDN/>
              <w:bidi w:val="0"/>
              <w:adjustRightInd/>
              <w:snapToGrid/>
              <w:textAlignment w:val="auto"/>
              <w:rPr>
                <w:rFonts w:hint="default" w:ascii="Times New Roman" w:hAnsi="Times New Roman" w:cs="Times New Roman"/>
              </w:rPr>
            </w:pPr>
          </w:p>
        </w:tc>
        <w:tc>
          <w:tcPr>
            <w:tcW w:w="622" w:type="pct"/>
            <w:vMerge w:val="continue"/>
            <w:shd w:val="clear" w:color="auto" w:fill="auto"/>
            <w:noWrap w:val="0"/>
            <w:vAlign w:val="center"/>
          </w:tcPr>
          <w:p w14:paraId="20A7C4B8">
            <w:pPr>
              <w:pStyle w:val="17"/>
              <w:kinsoku/>
              <w:wordWrap/>
              <w:topLinePunct w:val="0"/>
              <w:autoSpaceDE/>
              <w:autoSpaceDN/>
              <w:bidi w:val="0"/>
              <w:adjustRightInd/>
              <w:snapToGrid/>
              <w:textAlignment w:val="auto"/>
              <w:rPr>
                <w:rFonts w:hint="default" w:ascii="Times New Roman" w:hAnsi="Times New Roman" w:cs="Times New Roman"/>
              </w:rPr>
            </w:pPr>
          </w:p>
        </w:tc>
        <w:tc>
          <w:tcPr>
            <w:tcW w:w="623" w:type="pct"/>
            <w:shd w:val="clear" w:color="auto" w:fill="auto"/>
            <w:noWrap w:val="0"/>
            <w:vAlign w:val="center"/>
          </w:tcPr>
          <w:p w14:paraId="5119480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大阳岔</w:t>
            </w:r>
          </w:p>
        </w:tc>
        <w:tc>
          <w:tcPr>
            <w:tcW w:w="623" w:type="pct"/>
            <w:shd w:val="clear" w:color="auto" w:fill="auto"/>
            <w:noWrap w:val="0"/>
            <w:vAlign w:val="center"/>
          </w:tcPr>
          <w:p w14:paraId="6339346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浑江</w:t>
            </w:r>
          </w:p>
        </w:tc>
        <w:tc>
          <w:tcPr>
            <w:tcW w:w="623" w:type="pct"/>
            <w:shd w:val="clear" w:color="auto" w:fill="auto"/>
            <w:noWrap w:val="0"/>
            <w:vAlign w:val="center"/>
          </w:tcPr>
          <w:p w14:paraId="116C9C2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国控</w:t>
            </w:r>
          </w:p>
        </w:tc>
        <w:tc>
          <w:tcPr>
            <w:tcW w:w="375" w:type="pct"/>
            <w:shd w:val="clear" w:color="auto" w:fill="auto"/>
            <w:noWrap w:val="0"/>
            <w:vAlign w:val="center"/>
          </w:tcPr>
          <w:p w14:paraId="256A210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Ⅱ</w:t>
            </w:r>
          </w:p>
        </w:tc>
        <w:tc>
          <w:tcPr>
            <w:tcW w:w="375" w:type="pct"/>
            <w:shd w:val="clear" w:color="auto" w:fill="auto"/>
            <w:noWrap w:val="0"/>
            <w:vAlign w:val="center"/>
          </w:tcPr>
          <w:p w14:paraId="61AC828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Ⅱ</w:t>
            </w:r>
          </w:p>
        </w:tc>
        <w:tc>
          <w:tcPr>
            <w:tcW w:w="375" w:type="pct"/>
            <w:shd w:val="clear" w:color="auto" w:fill="auto"/>
            <w:noWrap w:val="0"/>
            <w:vAlign w:val="center"/>
          </w:tcPr>
          <w:p w14:paraId="21B9DAA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Ⅱ</w:t>
            </w:r>
          </w:p>
        </w:tc>
        <w:tc>
          <w:tcPr>
            <w:tcW w:w="375" w:type="pct"/>
            <w:shd w:val="clear" w:color="auto" w:fill="auto"/>
            <w:noWrap w:val="0"/>
            <w:vAlign w:val="center"/>
          </w:tcPr>
          <w:p w14:paraId="09AFBEB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Ⅱ</w:t>
            </w:r>
          </w:p>
        </w:tc>
        <w:tc>
          <w:tcPr>
            <w:tcW w:w="375" w:type="pct"/>
            <w:shd w:val="clear" w:color="auto" w:fill="auto"/>
            <w:noWrap w:val="0"/>
            <w:vAlign w:val="center"/>
          </w:tcPr>
          <w:p w14:paraId="237560C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Ⅱ</w:t>
            </w:r>
          </w:p>
        </w:tc>
        <w:tc>
          <w:tcPr>
            <w:tcW w:w="383" w:type="pct"/>
            <w:shd w:val="clear" w:color="auto" w:fill="auto"/>
            <w:noWrap w:val="0"/>
            <w:vAlign w:val="center"/>
          </w:tcPr>
          <w:p w14:paraId="5EF2A8D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Ⅰ</w:t>
            </w:r>
          </w:p>
        </w:tc>
      </w:tr>
    </w:tbl>
    <w:p w14:paraId="22774D56">
      <w:pPr>
        <w:kinsoku/>
        <w:wordWrap/>
        <w:topLinePunct w:val="0"/>
        <w:autoSpaceDE/>
        <w:autoSpaceDN/>
        <w:bidi w:val="0"/>
        <w:adjustRightInd/>
        <w:snapToGrid/>
        <w:textAlignment w:val="auto"/>
        <w:rPr>
          <w:rFonts w:hint="default" w:ascii="Times New Roman" w:hAnsi="Times New Roman" w:cs="Times New Roman"/>
        </w:rPr>
      </w:pPr>
    </w:p>
    <w:p w14:paraId="18B9584D">
      <w:pPr>
        <w:pStyle w:val="16"/>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1-17</w:t>
      </w:r>
      <w:r>
        <w:rPr>
          <w:rFonts w:hint="default" w:ascii="Times New Roman" w:hAnsi="Times New Roman" w:cs="Times New Roman"/>
        </w:rPr>
        <w:t>江源（浑）断面逐月水质状况</w:t>
      </w:r>
      <w:r>
        <w:rPr>
          <w:rFonts w:hint="default" w:ascii="Times New Roman" w:hAnsi="Times New Roman" w:cs="Times New Roman"/>
          <w:lang w:val="en-US" w:eastAsia="zh-CN"/>
        </w:rPr>
        <w:t>（</w:t>
      </w:r>
      <w:r>
        <w:rPr>
          <w:rFonts w:hint="default" w:ascii="Times New Roman" w:hAnsi="Times New Roman" w:cs="Times New Roman"/>
        </w:rPr>
        <w:t>2017-2019年</w:t>
      </w:r>
      <w:r>
        <w:rPr>
          <w:rFonts w:hint="default" w:ascii="Times New Roman" w:hAnsi="Times New Roman" w:cs="Times New Roman"/>
          <w:lang w:eastAsia="zh-CN"/>
        </w:rPr>
        <w:t>）</w:t>
      </w:r>
    </w:p>
    <w:tbl>
      <w:tblPr>
        <w:tblStyle w:val="13"/>
        <w:tblpPr w:leftFromText="180" w:rightFromText="180" w:vertAnchor="text" w:horzAnchor="margin" w:tblpXSpec="center" w:tblpY="86"/>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736"/>
        <w:gridCol w:w="551"/>
        <w:gridCol w:w="550"/>
        <w:gridCol w:w="550"/>
        <w:gridCol w:w="550"/>
        <w:gridCol w:w="550"/>
        <w:gridCol w:w="550"/>
        <w:gridCol w:w="550"/>
        <w:gridCol w:w="550"/>
        <w:gridCol w:w="550"/>
        <w:gridCol w:w="550"/>
        <w:gridCol w:w="550"/>
        <w:gridCol w:w="550"/>
        <w:gridCol w:w="550"/>
      </w:tblGrid>
      <w:tr w14:paraId="41110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427" w:type="pct"/>
            <w:noWrap w:val="0"/>
            <w:vAlign w:val="center"/>
          </w:tcPr>
          <w:p w14:paraId="42A210C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年份</w:t>
            </w:r>
          </w:p>
        </w:tc>
        <w:tc>
          <w:tcPr>
            <w:tcW w:w="426" w:type="pct"/>
            <w:noWrap w:val="0"/>
            <w:vAlign w:val="center"/>
          </w:tcPr>
          <w:p w14:paraId="1841262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水质目标</w:t>
            </w:r>
          </w:p>
        </w:tc>
        <w:tc>
          <w:tcPr>
            <w:tcW w:w="319" w:type="pct"/>
            <w:noWrap w:val="0"/>
            <w:vAlign w:val="center"/>
          </w:tcPr>
          <w:p w14:paraId="7EED1D5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1月</w:t>
            </w:r>
          </w:p>
        </w:tc>
        <w:tc>
          <w:tcPr>
            <w:tcW w:w="319" w:type="pct"/>
            <w:noWrap w:val="0"/>
            <w:vAlign w:val="center"/>
          </w:tcPr>
          <w:p w14:paraId="2DABA87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2月</w:t>
            </w:r>
          </w:p>
        </w:tc>
        <w:tc>
          <w:tcPr>
            <w:tcW w:w="319" w:type="pct"/>
            <w:noWrap w:val="0"/>
            <w:vAlign w:val="center"/>
          </w:tcPr>
          <w:p w14:paraId="08AE4E0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3月</w:t>
            </w:r>
          </w:p>
        </w:tc>
        <w:tc>
          <w:tcPr>
            <w:tcW w:w="319" w:type="pct"/>
            <w:noWrap w:val="0"/>
            <w:vAlign w:val="center"/>
          </w:tcPr>
          <w:p w14:paraId="3124463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4月</w:t>
            </w:r>
          </w:p>
        </w:tc>
        <w:tc>
          <w:tcPr>
            <w:tcW w:w="319" w:type="pct"/>
            <w:noWrap w:val="0"/>
            <w:vAlign w:val="center"/>
          </w:tcPr>
          <w:p w14:paraId="56BCE45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5月</w:t>
            </w:r>
          </w:p>
        </w:tc>
        <w:tc>
          <w:tcPr>
            <w:tcW w:w="319" w:type="pct"/>
            <w:noWrap w:val="0"/>
            <w:vAlign w:val="center"/>
          </w:tcPr>
          <w:p w14:paraId="271CD49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6月</w:t>
            </w:r>
          </w:p>
        </w:tc>
        <w:tc>
          <w:tcPr>
            <w:tcW w:w="319" w:type="pct"/>
            <w:noWrap w:val="0"/>
            <w:vAlign w:val="center"/>
          </w:tcPr>
          <w:p w14:paraId="221F6B25">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7月</w:t>
            </w:r>
          </w:p>
        </w:tc>
        <w:tc>
          <w:tcPr>
            <w:tcW w:w="319" w:type="pct"/>
            <w:noWrap w:val="0"/>
            <w:vAlign w:val="center"/>
          </w:tcPr>
          <w:p w14:paraId="5D57D4D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8月</w:t>
            </w:r>
          </w:p>
        </w:tc>
        <w:tc>
          <w:tcPr>
            <w:tcW w:w="319" w:type="pct"/>
            <w:noWrap w:val="0"/>
            <w:vAlign w:val="center"/>
          </w:tcPr>
          <w:p w14:paraId="4399C52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9月</w:t>
            </w:r>
          </w:p>
        </w:tc>
        <w:tc>
          <w:tcPr>
            <w:tcW w:w="319" w:type="pct"/>
            <w:noWrap w:val="0"/>
            <w:vAlign w:val="center"/>
          </w:tcPr>
          <w:p w14:paraId="23B6481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10月</w:t>
            </w:r>
          </w:p>
        </w:tc>
        <w:tc>
          <w:tcPr>
            <w:tcW w:w="319" w:type="pct"/>
            <w:noWrap w:val="0"/>
            <w:vAlign w:val="center"/>
          </w:tcPr>
          <w:p w14:paraId="439A15D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11月</w:t>
            </w:r>
          </w:p>
        </w:tc>
        <w:tc>
          <w:tcPr>
            <w:tcW w:w="319" w:type="pct"/>
            <w:noWrap w:val="0"/>
            <w:vAlign w:val="center"/>
          </w:tcPr>
          <w:p w14:paraId="75E1B46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12月</w:t>
            </w:r>
          </w:p>
        </w:tc>
        <w:tc>
          <w:tcPr>
            <w:tcW w:w="319" w:type="pct"/>
            <w:noWrap w:val="0"/>
            <w:vAlign w:val="center"/>
          </w:tcPr>
          <w:p w14:paraId="5268DF7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年均值</w:t>
            </w:r>
          </w:p>
        </w:tc>
      </w:tr>
      <w:tr w14:paraId="583F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27" w:type="pct"/>
            <w:noWrap w:val="0"/>
            <w:vAlign w:val="center"/>
          </w:tcPr>
          <w:p w14:paraId="7E1AA33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2017</w:t>
            </w:r>
          </w:p>
        </w:tc>
        <w:tc>
          <w:tcPr>
            <w:tcW w:w="426" w:type="pct"/>
            <w:noWrap w:val="0"/>
            <w:vAlign w:val="center"/>
          </w:tcPr>
          <w:p w14:paraId="096F7600">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16F1831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076BABB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519E8B4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377033F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435F4E2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37165FC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73768A2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2CD10C0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1637DBE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0B49574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45294B0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IV</w:t>
            </w:r>
          </w:p>
        </w:tc>
        <w:tc>
          <w:tcPr>
            <w:tcW w:w="319" w:type="pct"/>
            <w:noWrap w:val="0"/>
            <w:vAlign w:val="center"/>
          </w:tcPr>
          <w:p w14:paraId="3648788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714A6A24">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r>
      <w:tr w14:paraId="0551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27" w:type="pct"/>
            <w:noWrap w:val="0"/>
            <w:vAlign w:val="center"/>
          </w:tcPr>
          <w:p w14:paraId="10A4FD3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2018</w:t>
            </w:r>
          </w:p>
        </w:tc>
        <w:tc>
          <w:tcPr>
            <w:tcW w:w="426" w:type="pct"/>
            <w:noWrap w:val="0"/>
            <w:vAlign w:val="center"/>
          </w:tcPr>
          <w:p w14:paraId="50302D3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44F9455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2680660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47CE398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IV</w:t>
            </w:r>
          </w:p>
        </w:tc>
        <w:tc>
          <w:tcPr>
            <w:tcW w:w="319" w:type="pct"/>
            <w:noWrap w:val="0"/>
            <w:vAlign w:val="center"/>
          </w:tcPr>
          <w:p w14:paraId="6AA1DEA9">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4A699E7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 4 \* ROMAN </w:instrText>
            </w:r>
            <w:r>
              <w:rPr>
                <w:rFonts w:hint="default" w:ascii="Times New Roman" w:hAnsi="Times New Roman" w:cs="Times New Roman"/>
              </w:rPr>
              <w:fldChar w:fldCharType="separate"/>
            </w:r>
            <w:r>
              <w:rPr>
                <w:rFonts w:hint="default" w:ascii="Times New Roman" w:hAnsi="Times New Roman" w:cs="Times New Roman"/>
              </w:rPr>
              <w:t>IV</w:t>
            </w:r>
            <w:r>
              <w:rPr>
                <w:rFonts w:hint="default" w:ascii="Times New Roman" w:hAnsi="Times New Roman" w:cs="Times New Roman"/>
              </w:rPr>
              <w:fldChar w:fldCharType="end"/>
            </w:r>
          </w:p>
        </w:tc>
        <w:tc>
          <w:tcPr>
            <w:tcW w:w="319" w:type="pct"/>
            <w:noWrap w:val="0"/>
            <w:vAlign w:val="center"/>
          </w:tcPr>
          <w:p w14:paraId="307C3F9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 4 \* ROMAN </w:instrText>
            </w:r>
            <w:r>
              <w:rPr>
                <w:rFonts w:hint="default" w:ascii="Times New Roman" w:hAnsi="Times New Roman" w:cs="Times New Roman"/>
              </w:rPr>
              <w:fldChar w:fldCharType="separate"/>
            </w:r>
            <w:r>
              <w:rPr>
                <w:rFonts w:hint="default" w:ascii="Times New Roman" w:hAnsi="Times New Roman" w:cs="Times New Roman"/>
              </w:rPr>
              <w:t>IV</w:t>
            </w:r>
            <w:r>
              <w:rPr>
                <w:rFonts w:hint="default" w:ascii="Times New Roman" w:hAnsi="Times New Roman" w:cs="Times New Roman"/>
              </w:rPr>
              <w:fldChar w:fldCharType="end"/>
            </w:r>
          </w:p>
        </w:tc>
        <w:tc>
          <w:tcPr>
            <w:tcW w:w="319" w:type="pct"/>
            <w:noWrap w:val="0"/>
            <w:vAlign w:val="center"/>
          </w:tcPr>
          <w:p w14:paraId="610102A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704C624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349487F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IV</w:t>
            </w:r>
          </w:p>
        </w:tc>
        <w:tc>
          <w:tcPr>
            <w:tcW w:w="319" w:type="pct"/>
            <w:noWrap w:val="0"/>
            <w:vAlign w:val="center"/>
          </w:tcPr>
          <w:p w14:paraId="5BD4F8C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71F0804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3EF6451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7E51462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r>
      <w:tr w14:paraId="5A466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27" w:type="pct"/>
            <w:noWrap w:val="0"/>
            <w:vAlign w:val="center"/>
          </w:tcPr>
          <w:p w14:paraId="1085E5A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2019</w:t>
            </w:r>
          </w:p>
        </w:tc>
        <w:tc>
          <w:tcPr>
            <w:tcW w:w="426" w:type="pct"/>
            <w:noWrap w:val="0"/>
            <w:vAlign w:val="center"/>
          </w:tcPr>
          <w:p w14:paraId="50E4AB1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414CAC1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w:t>
            </w:r>
          </w:p>
        </w:tc>
        <w:tc>
          <w:tcPr>
            <w:tcW w:w="319" w:type="pct"/>
            <w:noWrap w:val="0"/>
            <w:vAlign w:val="center"/>
          </w:tcPr>
          <w:p w14:paraId="48BCA9A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w:t>
            </w:r>
          </w:p>
        </w:tc>
        <w:tc>
          <w:tcPr>
            <w:tcW w:w="319" w:type="pct"/>
            <w:noWrap w:val="0"/>
            <w:vAlign w:val="center"/>
          </w:tcPr>
          <w:p w14:paraId="189AF7D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339C941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4584D338">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61B2572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7F555D7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w:t>
            </w:r>
          </w:p>
        </w:tc>
        <w:tc>
          <w:tcPr>
            <w:tcW w:w="319" w:type="pct"/>
            <w:noWrap w:val="0"/>
            <w:vAlign w:val="center"/>
          </w:tcPr>
          <w:p w14:paraId="5C0EB55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w:t>
            </w:r>
          </w:p>
        </w:tc>
        <w:tc>
          <w:tcPr>
            <w:tcW w:w="319" w:type="pct"/>
            <w:noWrap w:val="0"/>
            <w:vAlign w:val="center"/>
          </w:tcPr>
          <w:p w14:paraId="3E6BE58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w:t>
            </w:r>
          </w:p>
        </w:tc>
        <w:tc>
          <w:tcPr>
            <w:tcW w:w="319" w:type="pct"/>
            <w:noWrap w:val="0"/>
            <w:vAlign w:val="center"/>
          </w:tcPr>
          <w:p w14:paraId="45EAA4F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3DFDDAAD">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14C60AD3">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49F19C2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r>
      <w:tr w14:paraId="3469C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27" w:type="pct"/>
            <w:noWrap w:val="0"/>
            <w:vAlign w:val="center"/>
          </w:tcPr>
          <w:p w14:paraId="7132D28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2020</w:t>
            </w:r>
          </w:p>
        </w:tc>
        <w:tc>
          <w:tcPr>
            <w:tcW w:w="426" w:type="pct"/>
            <w:noWrap w:val="0"/>
            <w:vAlign w:val="center"/>
          </w:tcPr>
          <w:p w14:paraId="2609E5AC">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III</w:t>
            </w:r>
          </w:p>
        </w:tc>
        <w:tc>
          <w:tcPr>
            <w:tcW w:w="319" w:type="pct"/>
            <w:noWrap w:val="0"/>
            <w:vAlign w:val="center"/>
          </w:tcPr>
          <w:p w14:paraId="26E4B13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w:t>
            </w:r>
          </w:p>
        </w:tc>
        <w:tc>
          <w:tcPr>
            <w:tcW w:w="319" w:type="pct"/>
            <w:noWrap w:val="0"/>
            <w:vAlign w:val="center"/>
          </w:tcPr>
          <w:p w14:paraId="34D5D97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Ⅱ</w:t>
            </w:r>
          </w:p>
        </w:tc>
        <w:tc>
          <w:tcPr>
            <w:tcW w:w="319" w:type="pct"/>
            <w:noWrap w:val="0"/>
            <w:vAlign w:val="center"/>
          </w:tcPr>
          <w:p w14:paraId="3397B4BA">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Ⅱ</w:t>
            </w:r>
          </w:p>
        </w:tc>
        <w:tc>
          <w:tcPr>
            <w:tcW w:w="319" w:type="pct"/>
            <w:noWrap w:val="0"/>
            <w:vAlign w:val="center"/>
          </w:tcPr>
          <w:p w14:paraId="52E4F911">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Ⅱ</w:t>
            </w:r>
          </w:p>
        </w:tc>
        <w:tc>
          <w:tcPr>
            <w:tcW w:w="319" w:type="pct"/>
            <w:noWrap w:val="0"/>
            <w:vAlign w:val="center"/>
          </w:tcPr>
          <w:p w14:paraId="59C35AA2">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Ⅱ</w:t>
            </w:r>
          </w:p>
        </w:tc>
        <w:tc>
          <w:tcPr>
            <w:tcW w:w="319" w:type="pct"/>
            <w:noWrap w:val="0"/>
            <w:vAlign w:val="center"/>
          </w:tcPr>
          <w:p w14:paraId="5E01D3E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Ⅲ</w:t>
            </w:r>
          </w:p>
        </w:tc>
        <w:tc>
          <w:tcPr>
            <w:tcW w:w="319" w:type="pct"/>
            <w:noWrap w:val="0"/>
            <w:vAlign w:val="center"/>
          </w:tcPr>
          <w:p w14:paraId="6060DA8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Ⅲ</w:t>
            </w:r>
          </w:p>
        </w:tc>
        <w:tc>
          <w:tcPr>
            <w:tcW w:w="319" w:type="pct"/>
            <w:noWrap w:val="0"/>
            <w:vAlign w:val="center"/>
          </w:tcPr>
          <w:p w14:paraId="41E8E21B">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Ⅳ</w:t>
            </w:r>
          </w:p>
        </w:tc>
        <w:tc>
          <w:tcPr>
            <w:tcW w:w="319" w:type="pct"/>
            <w:noWrap w:val="0"/>
            <w:vAlign w:val="center"/>
          </w:tcPr>
          <w:p w14:paraId="5327012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Ⅲ</w:t>
            </w:r>
          </w:p>
        </w:tc>
        <w:tc>
          <w:tcPr>
            <w:tcW w:w="319" w:type="pct"/>
            <w:noWrap w:val="0"/>
            <w:vAlign w:val="center"/>
          </w:tcPr>
          <w:p w14:paraId="4F1685B6">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Ⅲ</w:t>
            </w:r>
          </w:p>
        </w:tc>
        <w:tc>
          <w:tcPr>
            <w:tcW w:w="319" w:type="pct"/>
            <w:noWrap w:val="0"/>
            <w:vAlign w:val="center"/>
          </w:tcPr>
          <w:p w14:paraId="5967A59F">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Ⅲ</w:t>
            </w:r>
          </w:p>
        </w:tc>
        <w:tc>
          <w:tcPr>
            <w:tcW w:w="319" w:type="pct"/>
            <w:noWrap w:val="0"/>
            <w:vAlign w:val="center"/>
          </w:tcPr>
          <w:p w14:paraId="32D3196E">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Ⅲ</w:t>
            </w:r>
          </w:p>
        </w:tc>
        <w:tc>
          <w:tcPr>
            <w:tcW w:w="319" w:type="pct"/>
            <w:noWrap w:val="0"/>
            <w:vAlign w:val="center"/>
          </w:tcPr>
          <w:p w14:paraId="5CE1D8C7">
            <w:pPr>
              <w:pStyle w:val="17"/>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Ⅲ</w:t>
            </w:r>
          </w:p>
        </w:tc>
      </w:tr>
    </w:tbl>
    <w:p w14:paraId="119D040A">
      <w:pPr>
        <w:kinsoku/>
        <w:wordWrap/>
        <w:topLinePunct w:val="0"/>
        <w:autoSpaceDE/>
        <w:autoSpaceDN/>
        <w:bidi w:val="0"/>
        <w:adjustRightInd/>
        <w:snapToGrid/>
        <w:spacing w:line="360" w:lineRule="auto"/>
        <w:ind w:firstLine="641"/>
        <w:textAlignment w:val="auto"/>
        <w:rPr>
          <w:rFonts w:hint="default" w:ascii="Times New Roman" w:hAnsi="Times New Roman" w:eastAsia="宋体" w:cs="Times New Roman"/>
          <w:color w:val="auto"/>
          <w:sz w:val="24"/>
          <w:szCs w:val="24"/>
        </w:rPr>
      </w:pPr>
    </w:p>
    <w:p w14:paraId="41B9AD8F">
      <w:pPr>
        <w:kinsoku/>
        <w:wordWrap/>
        <w:topLinePunct w:val="0"/>
        <w:autoSpaceDE/>
        <w:autoSpaceDN/>
        <w:bidi w:val="0"/>
        <w:adjustRightInd/>
        <w:snapToGrid/>
        <w:spacing w:line="360" w:lineRule="auto"/>
        <w:ind w:firstLine="641"/>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②浑江沿岸近水不亲水，缺乏“亲水”功能设计</w:t>
      </w:r>
    </w:p>
    <w:p w14:paraId="571C4A12">
      <w:pPr>
        <w:kinsoku/>
        <w:wordWrap/>
        <w:topLinePunct w:val="0"/>
        <w:autoSpaceDE/>
        <w:autoSpaceDN/>
        <w:bidi w:val="0"/>
        <w:adjustRightInd/>
        <w:snapToGrid/>
        <w:spacing w:line="360" w:lineRule="auto"/>
        <w:ind w:firstLine="641"/>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浑江两岸聚集全市50%左右人口，两岸建设了亲水平台，可供人亲水行走，但缺乏“亲水”功能设计，无法使建成区内居民与浑江达到“人水和谐”。</w:t>
      </w:r>
    </w:p>
    <w:p w14:paraId="2BF5E6BC">
      <w:pPr>
        <w:kinsoku/>
        <w:wordWrap/>
        <w:topLinePunct w:val="0"/>
        <w:autoSpaceDE/>
        <w:autoSpaceDN/>
        <w:bidi w:val="0"/>
        <w:adjustRightInd/>
        <w:snapToGrid/>
        <w:spacing w:line="360" w:lineRule="auto"/>
        <w:ind w:firstLine="641"/>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③矿山及取土场生态尚未恢复，会加剧水土流失，对水生态带来风险。</w:t>
      </w:r>
    </w:p>
    <w:p w14:paraId="7ADFD988">
      <w:pPr>
        <w:pStyle w:val="5"/>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成因</w:t>
      </w:r>
    </w:p>
    <w:p w14:paraId="0FC19521">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①雨污分流管网建设不到位；存在管网漏失情况；城镇污水处理厂进水浓度低，影响污染物去除效果。</w:t>
      </w:r>
    </w:p>
    <w:p w14:paraId="500965A1">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江源区内雨污分流管网建设不到位，部分管网出现渗漏，地下水、河水渗入排水管道，导致城镇污水处理厂进水浓度过低，处理能力不足，影响污染物去除效果，污水处理厂长期超负荷运行。江源（浑）/大阳岔汇水范围内城镇生活污水排放总量为621万吨/年，其城镇生活污水主要污染物为化学需氧量（化学需氧量）、氨氮、总磷，2019年城镇污水收集率约为93%，未达到95%收集率目标，约有43.47万吨城镇生活污水未经处理，处理能力之外的污水只能直排外环境，对浑江水质影响较大。根据江源区对城区主干排水管网排查结果，115处雨污井需维修更换，2.25km过江管线和2.585km老旧小区污水管网需维修改造。</w:t>
      </w:r>
    </w:p>
    <w:p w14:paraId="6080C8CE">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②两岸河道护坡以水泥构筑物为主，主要起行洪功能</w:t>
      </w:r>
    </w:p>
    <w:p w14:paraId="1F05D0D4">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浑江流域两岸河道护坡以水泥构筑物为主，未设计从陆地延伸到水面上的亲水平台，且河道护坡主要起行洪功能，汛期无法使用。</w:t>
      </w:r>
    </w:p>
    <w:p w14:paraId="228C520C">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③流域内存在村屯及耕地，农业农村面源污染对河流水质会带来一定影响</w:t>
      </w:r>
    </w:p>
    <w:p w14:paraId="7CDA8FF5">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江源区有建制村41个，其中有25个建制村位于浑江流域，江源区农村污水特点是点多、面广、规模小，区域丘陵、山地地形居多，村庄分散，集中统一收集污水的成本和难度较高。农村污水随季节水质、水量急剧变化。目前部分农村人口的生活污水进入卫生厕所收集后还田，部分农村人口的生活污水未经处理通过明沟和地表径流排放至附近地表水体，影响环境。</w:t>
      </w:r>
    </w:p>
    <w:p w14:paraId="361D6972">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目前，沿浑江及其支流村镇周围存在一定量耕地，农药化肥施用，存在农业面源污染。</w:t>
      </w:r>
    </w:p>
    <w:p w14:paraId="7161B2FF">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④矿山及取土场生态尚未恢复，会加剧水土流失，对水生态带来风险。</w:t>
      </w:r>
    </w:p>
    <w:p w14:paraId="17B42E0C">
      <w:pPr>
        <w:pStyle w:val="4"/>
        <w:kinsoku/>
        <w:wordWrap/>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4"/>
          <w:szCs w:val="24"/>
        </w:rPr>
      </w:pPr>
      <w:bookmarkStart w:id="56" w:name="_Toc32145"/>
      <w:bookmarkStart w:id="57" w:name="_Toc82172420"/>
      <w:r>
        <w:rPr>
          <w:rFonts w:hint="default" w:ascii="Times New Roman" w:hAnsi="Times New Roman" w:eastAsia="宋体" w:cs="Times New Roman"/>
          <w:color w:val="auto"/>
          <w:sz w:val="24"/>
          <w:szCs w:val="24"/>
        </w:rPr>
        <w:t>西村断面汇水范围</w:t>
      </w:r>
      <w:bookmarkEnd w:id="56"/>
      <w:bookmarkEnd w:id="57"/>
    </w:p>
    <w:p w14:paraId="64566707">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西村汇水范围位于白山市浑江区及江源区部分区域，其所在水体为浑江，汇水范围内主要是西村控制断面。西村汇水范围涉及江源区4个乡镇级行政区（江源街道、大石人镇、石人镇、砟子镇）和浑江区11个乡镇级行政区（河口街道、板石街道、江北街道、东兴街道、城南街道、通沟街道、新建街道、红旗街道、七道江镇、六道江镇、红土崖镇）。至2019年，该汇水范围内总人口为38.0712万人，其中城镇人口31.9051万人，2019年实现地区生产总值222.228亿元，其中工业增加值37.6亿元。西村汇水范围如图3-3所示。</w:t>
      </w:r>
    </w:p>
    <w:p w14:paraId="4A637810">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十三五”期间，西村断面基本稳定达到III类标准，但存在个别指标超标，2020年由于黑臭水体整治工程导致淤泥进入浑江干流，导致水体浑浊，短期内呈劣Ⅴ类水质；西村断面汇水范围内有小型灌区，总灌溉面积2.2227万亩，实际灌溉面积1.3677万亩，无鱼塘补水；年均工业增加值为95.4849亿元，占白山市的33.18%；年均耕地面积9.9519万亩，占白山市的10.54%；年均牲畜数量为9.2101万头，占白山市总量的22.16%；年均工业增加值和牲畜数量均为白山市最高，耕地面积略高于平均水平。2015年-2019年，该汇水范围内工业增加值和牲畜数量均大幅下降，且白山市145户规模化养殖场已完成粪污资源化利用设施建设，设施配套率88.28%，粪污资源化利用率达74.06%，畜禽养殖对水环境的影响也将进一步降低。因此，未来五年，工业和畜禽养殖的发展对区域水环境产生影响的可能性较小；耕地面积有较大幅度的提高，种植业发展将对区域水环境造成一定压力。</w:t>
      </w:r>
    </w:p>
    <w:p w14:paraId="48563B41">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十三五”期间，西村断面汇水范围内水资源总量有较高幅度的增加，年均水资源总量为5.6239亿立方米，占白山市总量的6.62%，低于平均水平。该汇水范围内有4个水电站，低于平均水平，对河流生态流量影响较小。</w:t>
      </w:r>
    </w:p>
    <w:p w14:paraId="08180A68">
      <w:pPr>
        <w:pStyle w:val="5"/>
        <w:kinsoku/>
        <w:wordWrap/>
        <w:topLinePunct w:val="0"/>
        <w:autoSpaceDE/>
        <w:autoSpaceDN/>
        <w:bidi w:val="0"/>
        <w:adjustRightInd/>
        <w:snapToGrid/>
        <w:spacing w:before="0" w:after="0"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问题</w:t>
      </w:r>
    </w:p>
    <w:p w14:paraId="733F7137">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①西村考核断面水质不能稳定达标，存在高锰酸盐指数超标、化学需氧量超标现象</w:t>
      </w:r>
    </w:p>
    <w:p w14:paraId="1C34897C">
      <w:pPr>
        <w:bidi w:val="0"/>
        <w:rPr>
          <w:rFonts w:hint="default"/>
        </w:rPr>
      </w:pPr>
      <w:r>
        <w:rPr>
          <w:rFonts w:hint="default"/>
        </w:rPr>
        <w:t>西村断面为地表水国控断面，“十三五”期间目标水质为III类，其中2015年水质状况为III类，2017-2019年为年均为III类，达到III类要求。</w:t>
      </w:r>
    </w:p>
    <w:p w14:paraId="0D2BF158">
      <w:pPr>
        <w:bidi w:val="0"/>
        <w:rPr>
          <w:rFonts w:hint="default"/>
        </w:rPr>
      </w:pPr>
      <w:r>
        <w:rPr>
          <w:rFonts w:hint="default"/>
        </w:rPr>
        <w:t>2017年1月份高锰酸盐指数为8.31mg/L，未达到III类水要求，超标倍数为0.39；2016年6、10、11、12月和2017年1月份的化学需氧量21.01、25.31、21.61、24.63、27.6mg/L，未达到III类水要求，超标倍数为0.05、0.27、0.08、0.23、0.38。</w:t>
      </w:r>
    </w:p>
    <w:p w14:paraId="30A357FE">
      <w:pPr>
        <w:pStyle w:val="16"/>
        <w:bidi w:val="0"/>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表</w:t>
      </w:r>
      <w:r>
        <w:rPr>
          <w:rFonts w:hint="eastAsia" w:cs="Times New Roman"/>
          <w:b/>
          <w:color w:val="auto"/>
          <w:kern w:val="0"/>
          <w:sz w:val="24"/>
          <w:szCs w:val="24"/>
          <w:lang w:val="en-US" w:eastAsia="zh-CN"/>
        </w:rPr>
        <w:t>1-18</w:t>
      </w:r>
      <w:r>
        <w:rPr>
          <w:rFonts w:hint="default" w:ascii="Times New Roman" w:hAnsi="Times New Roman" w:eastAsia="宋体" w:cs="Times New Roman"/>
          <w:b/>
          <w:color w:val="auto"/>
          <w:kern w:val="0"/>
          <w:sz w:val="24"/>
          <w:szCs w:val="24"/>
        </w:rPr>
        <w:t>西村断面年均水质</w:t>
      </w:r>
      <w:r>
        <w:rPr>
          <w:rFonts w:hint="eastAsia" w:eastAsia="宋体" w:cs="Times New Roman"/>
          <w:b/>
          <w:color w:val="auto"/>
          <w:kern w:val="0"/>
          <w:sz w:val="24"/>
          <w:szCs w:val="24"/>
          <w:lang w:val="en-US" w:eastAsia="zh-CN"/>
        </w:rPr>
        <w:t>（</w:t>
      </w:r>
      <w:r>
        <w:rPr>
          <w:rFonts w:hint="default" w:ascii="Times New Roman" w:hAnsi="Times New Roman" w:eastAsia="宋体" w:cs="Times New Roman"/>
          <w:b/>
          <w:color w:val="auto"/>
          <w:kern w:val="0"/>
          <w:sz w:val="24"/>
          <w:szCs w:val="24"/>
        </w:rPr>
        <w:t>2015-2020年</w:t>
      </w:r>
      <w:r>
        <w:rPr>
          <w:rFonts w:hint="eastAsia" w:eastAsia="宋体" w:cs="Times New Roman"/>
          <w:b/>
          <w:color w:val="auto"/>
          <w:kern w:val="0"/>
          <w:sz w:val="24"/>
          <w:szCs w:val="24"/>
          <w:lang w:eastAsia="zh-CN"/>
        </w:rPr>
        <w:t>）</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69"/>
        <w:gridCol w:w="871"/>
        <w:gridCol w:w="869"/>
        <w:gridCol w:w="871"/>
        <w:gridCol w:w="871"/>
        <w:gridCol w:w="695"/>
        <w:gridCol w:w="695"/>
        <w:gridCol w:w="695"/>
        <w:gridCol w:w="695"/>
        <w:gridCol w:w="696"/>
        <w:gridCol w:w="695"/>
      </w:tblGrid>
      <w:tr w14:paraId="7265F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10" w:type="pct"/>
            <w:vMerge w:val="restart"/>
            <w:shd w:val="clear" w:color="auto" w:fill="auto"/>
            <w:noWrap w:val="0"/>
            <w:vAlign w:val="center"/>
          </w:tcPr>
          <w:p w14:paraId="75B71731">
            <w:pPr>
              <w:pStyle w:val="17"/>
              <w:bidi w:val="0"/>
              <w:rPr>
                <w:rFonts w:hint="default"/>
              </w:rPr>
            </w:pPr>
            <w:r>
              <w:rPr>
                <w:rFonts w:hint="default"/>
              </w:rPr>
              <w:t>流域</w:t>
            </w:r>
          </w:p>
        </w:tc>
        <w:tc>
          <w:tcPr>
            <w:tcW w:w="511" w:type="pct"/>
            <w:vMerge w:val="restart"/>
            <w:shd w:val="clear" w:color="auto" w:fill="auto"/>
            <w:noWrap w:val="0"/>
            <w:vAlign w:val="center"/>
          </w:tcPr>
          <w:p w14:paraId="3199E6B8">
            <w:pPr>
              <w:pStyle w:val="17"/>
              <w:bidi w:val="0"/>
              <w:rPr>
                <w:rFonts w:hint="default"/>
              </w:rPr>
            </w:pPr>
            <w:r>
              <w:rPr>
                <w:rFonts w:hint="default"/>
              </w:rPr>
              <w:t>汇水范围</w:t>
            </w:r>
          </w:p>
        </w:tc>
        <w:tc>
          <w:tcPr>
            <w:tcW w:w="510" w:type="pct"/>
            <w:vMerge w:val="restart"/>
            <w:shd w:val="clear" w:color="auto" w:fill="auto"/>
            <w:noWrap w:val="0"/>
            <w:vAlign w:val="center"/>
          </w:tcPr>
          <w:p w14:paraId="7DC394FF">
            <w:pPr>
              <w:pStyle w:val="17"/>
              <w:bidi w:val="0"/>
              <w:rPr>
                <w:rFonts w:hint="default"/>
              </w:rPr>
            </w:pPr>
            <w:r>
              <w:rPr>
                <w:rFonts w:hint="default"/>
              </w:rPr>
              <w:t>断面名称</w:t>
            </w:r>
          </w:p>
        </w:tc>
        <w:tc>
          <w:tcPr>
            <w:tcW w:w="511" w:type="pct"/>
            <w:vMerge w:val="restart"/>
            <w:shd w:val="clear" w:color="auto" w:fill="auto"/>
            <w:noWrap w:val="0"/>
            <w:vAlign w:val="center"/>
          </w:tcPr>
          <w:p w14:paraId="6B81E97C">
            <w:pPr>
              <w:pStyle w:val="17"/>
              <w:bidi w:val="0"/>
              <w:rPr>
                <w:rFonts w:hint="default"/>
              </w:rPr>
            </w:pPr>
            <w:r>
              <w:rPr>
                <w:rFonts w:hint="default"/>
              </w:rPr>
              <w:t>所在水体</w:t>
            </w:r>
          </w:p>
        </w:tc>
        <w:tc>
          <w:tcPr>
            <w:tcW w:w="511" w:type="pct"/>
            <w:vMerge w:val="restart"/>
            <w:shd w:val="clear" w:color="auto" w:fill="auto"/>
            <w:noWrap w:val="0"/>
            <w:vAlign w:val="center"/>
          </w:tcPr>
          <w:p w14:paraId="19DCE97B">
            <w:pPr>
              <w:pStyle w:val="17"/>
              <w:bidi w:val="0"/>
              <w:rPr>
                <w:rFonts w:hint="default"/>
              </w:rPr>
            </w:pPr>
            <w:r>
              <w:rPr>
                <w:rFonts w:hint="default"/>
              </w:rPr>
              <w:t>断面级别</w:t>
            </w:r>
          </w:p>
        </w:tc>
        <w:tc>
          <w:tcPr>
            <w:tcW w:w="2447" w:type="pct"/>
            <w:gridSpan w:val="6"/>
            <w:shd w:val="clear" w:color="auto" w:fill="auto"/>
            <w:noWrap w:val="0"/>
            <w:vAlign w:val="center"/>
          </w:tcPr>
          <w:p w14:paraId="615E1FAB">
            <w:pPr>
              <w:pStyle w:val="17"/>
              <w:bidi w:val="0"/>
              <w:rPr>
                <w:rFonts w:hint="default"/>
              </w:rPr>
            </w:pPr>
            <w:r>
              <w:rPr>
                <w:rFonts w:hint="default"/>
              </w:rPr>
              <w:t>水质状况</w:t>
            </w:r>
          </w:p>
        </w:tc>
      </w:tr>
      <w:tr w14:paraId="47FF9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510" w:type="pct"/>
            <w:vMerge w:val="continue"/>
            <w:shd w:val="clear" w:color="auto" w:fill="auto"/>
            <w:noWrap w:val="0"/>
            <w:vAlign w:val="center"/>
          </w:tcPr>
          <w:p w14:paraId="609706ED">
            <w:pPr>
              <w:pStyle w:val="17"/>
              <w:bidi w:val="0"/>
              <w:rPr>
                <w:rFonts w:hint="default"/>
              </w:rPr>
            </w:pPr>
          </w:p>
        </w:tc>
        <w:tc>
          <w:tcPr>
            <w:tcW w:w="511" w:type="pct"/>
            <w:vMerge w:val="continue"/>
            <w:shd w:val="clear" w:color="auto" w:fill="auto"/>
            <w:noWrap w:val="0"/>
            <w:vAlign w:val="center"/>
          </w:tcPr>
          <w:p w14:paraId="1423404E">
            <w:pPr>
              <w:pStyle w:val="17"/>
              <w:bidi w:val="0"/>
              <w:rPr>
                <w:rFonts w:hint="default"/>
              </w:rPr>
            </w:pPr>
          </w:p>
        </w:tc>
        <w:tc>
          <w:tcPr>
            <w:tcW w:w="510" w:type="pct"/>
            <w:vMerge w:val="continue"/>
            <w:shd w:val="clear" w:color="auto" w:fill="auto"/>
            <w:noWrap w:val="0"/>
            <w:vAlign w:val="center"/>
          </w:tcPr>
          <w:p w14:paraId="72D92E82">
            <w:pPr>
              <w:pStyle w:val="17"/>
              <w:bidi w:val="0"/>
              <w:rPr>
                <w:rFonts w:hint="default"/>
              </w:rPr>
            </w:pPr>
          </w:p>
        </w:tc>
        <w:tc>
          <w:tcPr>
            <w:tcW w:w="511" w:type="pct"/>
            <w:vMerge w:val="continue"/>
            <w:shd w:val="clear" w:color="auto" w:fill="auto"/>
            <w:noWrap w:val="0"/>
            <w:vAlign w:val="center"/>
          </w:tcPr>
          <w:p w14:paraId="09B9FDC1">
            <w:pPr>
              <w:pStyle w:val="17"/>
              <w:bidi w:val="0"/>
              <w:rPr>
                <w:rFonts w:hint="default"/>
              </w:rPr>
            </w:pPr>
          </w:p>
        </w:tc>
        <w:tc>
          <w:tcPr>
            <w:tcW w:w="511" w:type="pct"/>
            <w:vMerge w:val="continue"/>
            <w:shd w:val="clear" w:color="auto" w:fill="auto"/>
            <w:noWrap w:val="0"/>
            <w:vAlign w:val="center"/>
          </w:tcPr>
          <w:p w14:paraId="2EA3CD1A">
            <w:pPr>
              <w:pStyle w:val="17"/>
              <w:bidi w:val="0"/>
              <w:rPr>
                <w:rFonts w:hint="default"/>
              </w:rPr>
            </w:pPr>
          </w:p>
        </w:tc>
        <w:tc>
          <w:tcPr>
            <w:tcW w:w="408" w:type="pct"/>
            <w:shd w:val="clear" w:color="auto" w:fill="auto"/>
            <w:noWrap w:val="0"/>
            <w:vAlign w:val="center"/>
          </w:tcPr>
          <w:p w14:paraId="20CCBF1B">
            <w:pPr>
              <w:pStyle w:val="17"/>
              <w:bidi w:val="0"/>
              <w:rPr>
                <w:rFonts w:hint="default"/>
              </w:rPr>
            </w:pPr>
            <w:r>
              <w:rPr>
                <w:rFonts w:hint="default"/>
              </w:rPr>
              <w:t>2015年</w:t>
            </w:r>
          </w:p>
        </w:tc>
        <w:tc>
          <w:tcPr>
            <w:tcW w:w="408" w:type="pct"/>
            <w:shd w:val="clear" w:color="auto" w:fill="auto"/>
            <w:noWrap w:val="0"/>
            <w:vAlign w:val="center"/>
          </w:tcPr>
          <w:p w14:paraId="55D0BA20">
            <w:pPr>
              <w:pStyle w:val="17"/>
              <w:bidi w:val="0"/>
              <w:rPr>
                <w:rFonts w:hint="default"/>
              </w:rPr>
            </w:pPr>
            <w:r>
              <w:rPr>
                <w:rFonts w:hint="default"/>
              </w:rPr>
              <w:t>2016年</w:t>
            </w:r>
          </w:p>
        </w:tc>
        <w:tc>
          <w:tcPr>
            <w:tcW w:w="408" w:type="pct"/>
            <w:shd w:val="clear" w:color="auto" w:fill="auto"/>
            <w:noWrap w:val="0"/>
            <w:vAlign w:val="center"/>
          </w:tcPr>
          <w:p w14:paraId="68EFEB6B">
            <w:pPr>
              <w:pStyle w:val="17"/>
              <w:bidi w:val="0"/>
              <w:rPr>
                <w:rFonts w:hint="default"/>
              </w:rPr>
            </w:pPr>
            <w:r>
              <w:rPr>
                <w:rFonts w:hint="default"/>
              </w:rPr>
              <w:t>2017年</w:t>
            </w:r>
          </w:p>
        </w:tc>
        <w:tc>
          <w:tcPr>
            <w:tcW w:w="408" w:type="pct"/>
            <w:shd w:val="clear" w:color="auto" w:fill="auto"/>
            <w:noWrap w:val="0"/>
            <w:vAlign w:val="center"/>
          </w:tcPr>
          <w:p w14:paraId="5E82D1F5">
            <w:pPr>
              <w:pStyle w:val="17"/>
              <w:bidi w:val="0"/>
              <w:rPr>
                <w:rFonts w:hint="default"/>
              </w:rPr>
            </w:pPr>
            <w:r>
              <w:rPr>
                <w:rFonts w:hint="default"/>
              </w:rPr>
              <w:t>2018年</w:t>
            </w:r>
          </w:p>
        </w:tc>
        <w:tc>
          <w:tcPr>
            <w:tcW w:w="408" w:type="pct"/>
            <w:shd w:val="clear" w:color="auto" w:fill="auto"/>
            <w:noWrap w:val="0"/>
            <w:vAlign w:val="center"/>
          </w:tcPr>
          <w:p w14:paraId="593E86CA">
            <w:pPr>
              <w:pStyle w:val="17"/>
              <w:bidi w:val="0"/>
              <w:rPr>
                <w:rFonts w:hint="default"/>
              </w:rPr>
            </w:pPr>
            <w:r>
              <w:rPr>
                <w:rFonts w:hint="default"/>
              </w:rPr>
              <w:t>2019年</w:t>
            </w:r>
          </w:p>
        </w:tc>
        <w:tc>
          <w:tcPr>
            <w:tcW w:w="408" w:type="pct"/>
            <w:shd w:val="clear" w:color="auto" w:fill="auto"/>
            <w:noWrap w:val="0"/>
            <w:vAlign w:val="center"/>
          </w:tcPr>
          <w:p w14:paraId="7470BB19">
            <w:pPr>
              <w:pStyle w:val="17"/>
              <w:bidi w:val="0"/>
              <w:rPr>
                <w:rFonts w:hint="default"/>
              </w:rPr>
            </w:pPr>
            <w:r>
              <w:rPr>
                <w:rFonts w:hint="default"/>
              </w:rPr>
              <w:t>2020年</w:t>
            </w:r>
          </w:p>
        </w:tc>
      </w:tr>
      <w:tr w14:paraId="0C901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510" w:type="pct"/>
            <w:shd w:val="clear" w:color="auto" w:fill="auto"/>
            <w:noWrap w:val="0"/>
            <w:vAlign w:val="center"/>
          </w:tcPr>
          <w:p w14:paraId="2D6A3545">
            <w:pPr>
              <w:pStyle w:val="17"/>
              <w:bidi w:val="0"/>
              <w:rPr>
                <w:rFonts w:hint="default"/>
              </w:rPr>
            </w:pPr>
            <w:r>
              <w:rPr>
                <w:rFonts w:hint="default"/>
              </w:rPr>
              <w:t>辽河</w:t>
            </w:r>
          </w:p>
        </w:tc>
        <w:tc>
          <w:tcPr>
            <w:tcW w:w="511" w:type="pct"/>
            <w:shd w:val="clear" w:color="auto" w:fill="auto"/>
            <w:noWrap w:val="0"/>
            <w:vAlign w:val="center"/>
          </w:tcPr>
          <w:p w14:paraId="64F3D627">
            <w:pPr>
              <w:pStyle w:val="17"/>
              <w:bidi w:val="0"/>
              <w:rPr>
                <w:rFonts w:hint="default"/>
              </w:rPr>
            </w:pPr>
            <w:r>
              <w:rPr>
                <w:rFonts w:hint="default"/>
              </w:rPr>
              <w:t>西村</w:t>
            </w:r>
          </w:p>
        </w:tc>
        <w:tc>
          <w:tcPr>
            <w:tcW w:w="510" w:type="pct"/>
            <w:shd w:val="clear" w:color="auto" w:fill="auto"/>
            <w:noWrap w:val="0"/>
            <w:vAlign w:val="center"/>
          </w:tcPr>
          <w:p w14:paraId="146CAEA5">
            <w:pPr>
              <w:pStyle w:val="17"/>
              <w:bidi w:val="0"/>
              <w:rPr>
                <w:rFonts w:hint="default"/>
              </w:rPr>
            </w:pPr>
            <w:r>
              <w:rPr>
                <w:rFonts w:hint="default"/>
              </w:rPr>
              <w:t>西村</w:t>
            </w:r>
          </w:p>
        </w:tc>
        <w:tc>
          <w:tcPr>
            <w:tcW w:w="511" w:type="pct"/>
            <w:shd w:val="clear" w:color="auto" w:fill="auto"/>
            <w:noWrap w:val="0"/>
            <w:vAlign w:val="center"/>
          </w:tcPr>
          <w:p w14:paraId="0DE15846">
            <w:pPr>
              <w:pStyle w:val="17"/>
              <w:bidi w:val="0"/>
              <w:rPr>
                <w:rFonts w:hint="default"/>
              </w:rPr>
            </w:pPr>
            <w:r>
              <w:rPr>
                <w:rFonts w:hint="default"/>
              </w:rPr>
              <w:t>浑江</w:t>
            </w:r>
          </w:p>
        </w:tc>
        <w:tc>
          <w:tcPr>
            <w:tcW w:w="511" w:type="pct"/>
            <w:shd w:val="clear" w:color="auto" w:fill="auto"/>
            <w:noWrap w:val="0"/>
            <w:vAlign w:val="center"/>
          </w:tcPr>
          <w:p w14:paraId="6E93A2D1">
            <w:pPr>
              <w:pStyle w:val="17"/>
              <w:bidi w:val="0"/>
              <w:rPr>
                <w:rFonts w:hint="default"/>
              </w:rPr>
            </w:pPr>
            <w:r>
              <w:rPr>
                <w:rFonts w:hint="default"/>
              </w:rPr>
              <w:t>省控</w:t>
            </w:r>
          </w:p>
        </w:tc>
        <w:tc>
          <w:tcPr>
            <w:tcW w:w="408" w:type="pct"/>
            <w:shd w:val="clear" w:color="auto" w:fill="auto"/>
            <w:noWrap w:val="0"/>
            <w:vAlign w:val="center"/>
          </w:tcPr>
          <w:p w14:paraId="3B1E0630">
            <w:pPr>
              <w:pStyle w:val="17"/>
              <w:bidi w:val="0"/>
              <w:rPr>
                <w:rFonts w:hint="default"/>
              </w:rPr>
            </w:pPr>
            <w:r>
              <w:rPr>
                <w:rFonts w:hint="default"/>
              </w:rPr>
              <w:t>III</w:t>
            </w:r>
          </w:p>
        </w:tc>
        <w:tc>
          <w:tcPr>
            <w:tcW w:w="408" w:type="pct"/>
            <w:shd w:val="clear" w:color="auto" w:fill="auto"/>
            <w:noWrap w:val="0"/>
            <w:vAlign w:val="center"/>
          </w:tcPr>
          <w:p w14:paraId="3965C2F3">
            <w:pPr>
              <w:pStyle w:val="17"/>
              <w:bidi w:val="0"/>
              <w:rPr>
                <w:rFonts w:hint="default"/>
              </w:rPr>
            </w:pPr>
            <w:r>
              <w:rPr>
                <w:rFonts w:hint="default"/>
              </w:rPr>
              <w:t>IV</w:t>
            </w:r>
          </w:p>
        </w:tc>
        <w:tc>
          <w:tcPr>
            <w:tcW w:w="408" w:type="pct"/>
            <w:shd w:val="clear" w:color="auto" w:fill="auto"/>
            <w:noWrap w:val="0"/>
            <w:vAlign w:val="center"/>
          </w:tcPr>
          <w:p w14:paraId="72B2532F">
            <w:pPr>
              <w:pStyle w:val="17"/>
              <w:bidi w:val="0"/>
              <w:rPr>
                <w:rFonts w:hint="default"/>
              </w:rPr>
            </w:pPr>
            <w:r>
              <w:rPr>
                <w:rFonts w:hint="default"/>
              </w:rPr>
              <w:t>III</w:t>
            </w:r>
          </w:p>
        </w:tc>
        <w:tc>
          <w:tcPr>
            <w:tcW w:w="408" w:type="pct"/>
            <w:shd w:val="clear" w:color="auto" w:fill="auto"/>
            <w:noWrap w:val="0"/>
            <w:vAlign w:val="center"/>
          </w:tcPr>
          <w:p w14:paraId="6DAD4FDE">
            <w:pPr>
              <w:pStyle w:val="17"/>
              <w:bidi w:val="0"/>
              <w:rPr>
                <w:rFonts w:hint="default"/>
              </w:rPr>
            </w:pPr>
            <w:r>
              <w:rPr>
                <w:rFonts w:hint="default"/>
              </w:rPr>
              <w:t>III</w:t>
            </w:r>
          </w:p>
        </w:tc>
        <w:tc>
          <w:tcPr>
            <w:tcW w:w="408" w:type="pct"/>
            <w:shd w:val="clear" w:color="auto" w:fill="auto"/>
            <w:noWrap w:val="0"/>
            <w:vAlign w:val="center"/>
          </w:tcPr>
          <w:p w14:paraId="7E22CD84">
            <w:pPr>
              <w:pStyle w:val="17"/>
              <w:bidi w:val="0"/>
              <w:rPr>
                <w:rFonts w:hint="default"/>
              </w:rPr>
            </w:pPr>
            <w:r>
              <w:rPr>
                <w:rFonts w:hint="default"/>
              </w:rPr>
              <w:t>III</w:t>
            </w:r>
          </w:p>
        </w:tc>
        <w:tc>
          <w:tcPr>
            <w:tcW w:w="408" w:type="pct"/>
            <w:shd w:val="clear" w:color="auto" w:fill="auto"/>
            <w:noWrap w:val="0"/>
            <w:vAlign w:val="center"/>
          </w:tcPr>
          <w:p w14:paraId="792E74EB">
            <w:pPr>
              <w:pStyle w:val="17"/>
              <w:bidi w:val="0"/>
              <w:rPr>
                <w:rFonts w:hint="default"/>
              </w:rPr>
            </w:pPr>
            <w:r>
              <w:rPr>
                <w:rFonts w:hint="default"/>
              </w:rPr>
              <w:t>劣Ⅴ</w:t>
            </w:r>
          </w:p>
        </w:tc>
      </w:tr>
    </w:tbl>
    <w:p w14:paraId="59168E0D">
      <w:pPr>
        <w:kinsoku/>
        <w:wordWrap/>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kern w:val="0"/>
          <w:sz w:val="24"/>
          <w:szCs w:val="24"/>
        </w:rPr>
      </w:pPr>
    </w:p>
    <w:p w14:paraId="04F3E57A">
      <w:pPr>
        <w:pStyle w:val="16"/>
        <w:bidi w:val="0"/>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表</w:t>
      </w:r>
      <w:r>
        <w:rPr>
          <w:rFonts w:hint="eastAsia" w:cs="Times New Roman"/>
          <w:b/>
          <w:color w:val="auto"/>
          <w:kern w:val="0"/>
          <w:sz w:val="24"/>
          <w:szCs w:val="24"/>
          <w:lang w:val="en-US" w:eastAsia="zh-CN"/>
        </w:rPr>
        <w:t>1-19</w:t>
      </w:r>
      <w:r>
        <w:rPr>
          <w:rFonts w:hint="default" w:ascii="Times New Roman" w:hAnsi="Times New Roman" w:eastAsia="宋体" w:cs="Times New Roman"/>
          <w:b/>
          <w:color w:val="auto"/>
          <w:kern w:val="0"/>
          <w:sz w:val="24"/>
          <w:szCs w:val="24"/>
        </w:rPr>
        <w:t>西村断面逐月水质状况</w:t>
      </w:r>
      <w:r>
        <w:rPr>
          <w:rFonts w:hint="eastAsia" w:eastAsia="宋体" w:cs="Times New Roman"/>
          <w:b/>
          <w:color w:val="auto"/>
          <w:kern w:val="0"/>
          <w:sz w:val="24"/>
          <w:szCs w:val="24"/>
          <w:lang w:val="en-US" w:eastAsia="zh-CN"/>
        </w:rPr>
        <w:t>（</w:t>
      </w:r>
      <w:r>
        <w:rPr>
          <w:rFonts w:hint="default" w:ascii="Times New Roman" w:hAnsi="Times New Roman" w:eastAsia="宋体" w:cs="Times New Roman"/>
          <w:b/>
          <w:color w:val="auto"/>
          <w:kern w:val="0"/>
          <w:sz w:val="24"/>
          <w:szCs w:val="24"/>
        </w:rPr>
        <w:t>2015-2020年</w:t>
      </w:r>
      <w:r>
        <w:rPr>
          <w:rFonts w:hint="eastAsia" w:eastAsia="宋体" w:cs="Times New Roman"/>
          <w:b/>
          <w:color w:val="auto"/>
          <w:kern w:val="0"/>
          <w:sz w:val="24"/>
          <w:szCs w:val="24"/>
          <w:lang w:eastAsia="zh-CN"/>
        </w:rPr>
        <w:t>）</w:t>
      </w:r>
    </w:p>
    <w:tbl>
      <w:tblPr>
        <w:tblStyle w:val="13"/>
        <w:tblpPr w:leftFromText="180" w:rightFromText="180" w:vertAnchor="text" w:horzAnchor="margin" w:tblpXSpec="center" w:tblpY="8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753"/>
        <w:gridCol w:w="438"/>
        <w:gridCol w:w="636"/>
        <w:gridCol w:w="636"/>
        <w:gridCol w:w="479"/>
        <w:gridCol w:w="496"/>
        <w:gridCol w:w="496"/>
        <w:gridCol w:w="496"/>
        <w:gridCol w:w="496"/>
        <w:gridCol w:w="497"/>
        <w:gridCol w:w="575"/>
        <w:gridCol w:w="568"/>
        <w:gridCol w:w="575"/>
        <w:gridCol w:w="688"/>
      </w:tblGrid>
      <w:tr w14:paraId="272E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 w:hRule="atLeast"/>
          <w:jc w:val="center"/>
        </w:trPr>
        <w:tc>
          <w:tcPr>
            <w:tcW w:w="415" w:type="pct"/>
            <w:noWrap w:val="0"/>
            <w:vAlign w:val="center"/>
          </w:tcPr>
          <w:p w14:paraId="0AD81A54">
            <w:pPr>
              <w:pStyle w:val="17"/>
              <w:bidi w:val="0"/>
              <w:rPr>
                <w:rFonts w:hint="default"/>
              </w:rPr>
            </w:pPr>
            <w:r>
              <w:rPr>
                <w:rFonts w:hint="default"/>
              </w:rPr>
              <w:t>年份</w:t>
            </w:r>
          </w:p>
        </w:tc>
        <w:tc>
          <w:tcPr>
            <w:tcW w:w="450" w:type="pct"/>
            <w:noWrap w:val="0"/>
            <w:vAlign w:val="center"/>
          </w:tcPr>
          <w:p w14:paraId="16BF86A8">
            <w:pPr>
              <w:pStyle w:val="17"/>
              <w:bidi w:val="0"/>
              <w:rPr>
                <w:rFonts w:hint="default"/>
              </w:rPr>
            </w:pPr>
            <w:r>
              <w:rPr>
                <w:rFonts w:hint="default"/>
              </w:rPr>
              <w:t>水质</w:t>
            </w:r>
          </w:p>
          <w:p w14:paraId="4554F9A5">
            <w:pPr>
              <w:pStyle w:val="17"/>
              <w:bidi w:val="0"/>
              <w:rPr>
                <w:rFonts w:hint="default"/>
              </w:rPr>
            </w:pPr>
            <w:r>
              <w:rPr>
                <w:rFonts w:hint="default"/>
              </w:rPr>
              <w:t>目标</w:t>
            </w:r>
          </w:p>
        </w:tc>
        <w:tc>
          <w:tcPr>
            <w:tcW w:w="244" w:type="pct"/>
            <w:noWrap w:val="0"/>
            <w:vAlign w:val="center"/>
          </w:tcPr>
          <w:p w14:paraId="6308A09F">
            <w:pPr>
              <w:pStyle w:val="17"/>
              <w:bidi w:val="0"/>
              <w:rPr>
                <w:rFonts w:hint="default"/>
              </w:rPr>
            </w:pPr>
            <w:r>
              <w:rPr>
                <w:rFonts w:hint="default"/>
              </w:rPr>
              <w:t>1月</w:t>
            </w:r>
          </w:p>
        </w:tc>
        <w:tc>
          <w:tcPr>
            <w:tcW w:w="356" w:type="pct"/>
            <w:noWrap w:val="0"/>
            <w:vAlign w:val="center"/>
          </w:tcPr>
          <w:p w14:paraId="56357E0D">
            <w:pPr>
              <w:pStyle w:val="17"/>
              <w:bidi w:val="0"/>
              <w:rPr>
                <w:rFonts w:hint="default"/>
              </w:rPr>
            </w:pPr>
            <w:r>
              <w:rPr>
                <w:rFonts w:hint="default"/>
              </w:rPr>
              <w:t>2</w:t>
            </w:r>
          </w:p>
          <w:p w14:paraId="7298A366">
            <w:pPr>
              <w:pStyle w:val="17"/>
              <w:bidi w:val="0"/>
              <w:rPr>
                <w:rFonts w:hint="default"/>
              </w:rPr>
            </w:pPr>
            <w:r>
              <w:rPr>
                <w:rFonts w:hint="default"/>
              </w:rPr>
              <w:t>月</w:t>
            </w:r>
          </w:p>
        </w:tc>
        <w:tc>
          <w:tcPr>
            <w:tcW w:w="309" w:type="pct"/>
            <w:noWrap w:val="0"/>
            <w:vAlign w:val="center"/>
          </w:tcPr>
          <w:p w14:paraId="0019990F">
            <w:pPr>
              <w:pStyle w:val="17"/>
              <w:bidi w:val="0"/>
              <w:rPr>
                <w:rFonts w:hint="default"/>
              </w:rPr>
            </w:pPr>
            <w:r>
              <w:rPr>
                <w:rFonts w:hint="default"/>
              </w:rPr>
              <w:t>3月</w:t>
            </w:r>
          </w:p>
        </w:tc>
        <w:tc>
          <w:tcPr>
            <w:tcW w:w="289" w:type="pct"/>
            <w:noWrap w:val="0"/>
            <w:vAlign w:val="center"/>
          </w:tcPr>
          <w:p w14:paraId="12CA55F7">
            <w:pPr>
              <w:pStyle w:val="17"/>
              <w:bidi w:val="0"/>
              <w:rPr>
                <w:rFonts w:hint="default"/>
              </w:rPr>
            </w:pPr>
            <w:r>
              <w:rPr>
                <w:rFonts w:hint="default"/>
              </w:rPr>
              <w:t>4月</w:t>
            </w:r>
          </w:p>
        </w:tc>
        <w:tc>
          <w:tcPr>
            <w:tcW w:w="299" w:type="pct"/>
            <w:noWrap w:val="0"/>
            <w:vAlign w:val="center"/>
          </w:tcPr>
          <w:p w14:paraId="470323BC">
            <w:pPr>
              <w:pStyle w:val="17"/>
              <w:bidi w:val="0"/>
              <w:rPr>
                <w:rFonts w:hint="default"/>
              </w:rPr>
            </w:pPr>
            <w:r>
              <w:rPr>
                <w:rFonts w:hint="default"/>
              </w:rPr>
              <w:t>5月</w:t>
            </w:r>
          </w:p>
        </w:tc>
        <w:tc>
          <w:tcPr>
            <w:tcW w:w="299" w:type="pct"/>
            <w:noWrap w:val="0"/>
            <w:vAlign w:val="center"/>
          </w:tcPr>
          <w:p w14:paraId="19868C3E">
            <w:pPr>
              <w:pStyle w:val="17"/>
              <w:bidi w:val="0"/>
              <w:rPr>
                <w:rFonts w:hint="default"/>
              </w:rPr>
            </w:pPr>
            <w:r>
              <w:rPr>
                <w:rFonts w:hint="default"/>
              </w:rPr>
              <w:t>6月</w:t>
            </w:r>
          </w:p>
        </w:tc>
        <w:tc>
          <w:tcPr>
            <w:tcW w:w="299" w:type="pct"/>
            <w:noWrap w:val="0"/>
            <w:vAlign w:val="center"/>
          </w:tcPr>
          <w:p w14:paraId="4F5DD3A5">
            <w:pPr>
              <w:pStyle w:val="17"/>
              <w:bidi w:val="0"/>
              <w:rPr>
                <w:rFonts w:hint="default"/>
              </w:rPr>
            </w:pPr>
            <w:r>
              <w:rPr>
                <w:rFonts w:hint="default"/>
              </w:rPr>
              <w:t>7月</w:t>
            </w:r>
          </w:p>
        </w:tc>
        <w:tc>
          <w:tcPr>
            <w:tcW w:w="299" w:type="pct"/>
            <w:noWrap w:val="0"/>
            <w:vAlign w:val="center"/>
          </w:tcPr>
          <w:p w14:paraId="08EEE284">
            <w:pPr>
              <w:pStyle w:val="17"/>
              <w:bidi w:val="0"/>
              <w:rPr>
                <w:rFonts w:hint="default"/>
              </w:rPr>
            </w:pPr>
            <w:r>
              <w:rPr>
                <w:rFonts w:hint="default"/>
              </w:rPr>
              <w:t>8月</w:t>
            </w:r>
          </w:p>
        </w:tc>
        <w:tc>
          <w:tcPr>
            <w:tcW w:w="299" w:type="pct"/>
            <w:noWrap w:val="0"/>
            <w:vAlign w:val="center"/>
          </w:tcPr>
          <w:p w14:paraId="77808A31">
            <w:pPr>
              <w:pStyle w:val="17"/>
              <w:bidi w:val="0"/>
              <w:rPr>
                <w:rFonts w:hint="default"/>
              </w:rPr>
            </w:pPr>
            <w:r>
              <w:rPr>
                <w:rFonts w:hint="default"/>
              </w:rPr>
              <w:t>9月</w:t>
            </w:r>
          </w:p>
        </w:tc>
        <w:tc>
          <w:tcPr>
            <w:tcW w:w="345" w:type="pct"/>
            <w:noWrap w:val="0"/>
            <w:vAlign w:val="center"/>
          </w:tcPr>
          <w:p w14:paraId="2889D3E4">
            <w:pPr>
              <w:pStyle w:val="17"/>
              <w:bidi w:val="0"/>
              <w:rPr>
                <w:rFonts w:hint="default"/>
              </w:rPr>
            </w:pPr>
            <w:r>
              <w:rPr>
                <w:rFonts w:hint="default"/>
              </w:rPr>
              <w:t>10月</w:t>
            </w:r>
          </w:p>
        </w:tc>
        <w:tc>
          <w:tcPr>
            <w:tcW w:w="341" w:type="pct"/>
            <w:noWrap w:val="0"/>
            <w:vAlign w:val="center"/>
          </w:tcPr>
          <w:p w14:paraId="6D64F04F">
            <w:pPr>
              <w:pStyle w:val="17"/>
              <w:bidi w:val="0"/>
              <w:rPr>
                <w:rFonts w:hint="default"/>
              </w:rPr>
            </w:pPr>
            <w:r>
              <w:rPr>
                <w:rFonts w:hint="default"/>
              </w:rPr>
              <w:t>11月</w:t>
            </w:r>
          </w:p>
        </w:tc>
        <w:tc>
          <w:tcPr>
            <w:tcW w:w="345" w:type="pct"/>
            <w:noWrap w:val="0"/>
            <w:vAlign w:val="center"/>
          </w:tcPr>
          <w:p w14:paraId="63D1D69F">
            <w:pPr>
              <w:pStyle w:val="17"/>
              <w:bidi w:val="0"/>
              <w:rPr>
                <w:rFonts w:hint="default"/>
              </w:rPr>
            </w:pPr>
            <w:r>
              <w:rPr>
                <w:rFonts w:hint="default"/>
              </w:rPr>
              <w:t>12月</w:t>
            </w:r>
          </w:p>
        </w:tc>
        <w:tc>
          <w:tcPr>
            <w:tcW w:w="411" w:type="pct"/>
            <w:noWrap w:val="0"/>
            <w:vAlign w:val="center"/>
          </w:tcPr>
          <w:p w14:paraId="642E090D">
            <w:pPr>
              <w:pStyle w:val="17"/>
              <w:bidi w:val="0"/>
              <w:rPr>
                <w:rFonts w:hint="default"/>
              </w:rPr>
            </w:pPr>
            <w:r>
              <w:rPr>
                <w:rFonts w:hint="default"/>
              </w:rPr>
              <w:t>年均值</w:t>
            </w:r>
          </w:p>
        </w:tc>
      </w:tr>
      <w:tr w14:paraId="5F8F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415" w:type="pct"/>
            <w:noWrap w:val="0"/>
            <w:vAlign w:val="center"/>
          </w:tcPr>
          <w:p w14:paraId="4CEC4057">
            <w:pPr>
              <w:pStyle w:val="17"/>
              <w:bidi w:val="0"/>
              <w:rPr>
                <w:rFonts w:hint="default"/>
              </w:rPr>
            </w:pPr>
            <w:r>
              <w:rPr>
                <w:rFonts w:hint="default"/>
              </w:rPr>
              <w:t>2015</w:t>
            </w:r>
          </w:p>
        </w:tc>
        <w:tc>
          <w:tcPr>
            <w:tcW w:w="450" w:type="pct"/>
            <w:noWrap w:val="0"/>
            <w:vAlign w:val="center"/>
          </w:tcPr>
          <w:p w14:paraId="6AF40418">
            <w:pPr>
              <w:pStyle w:val="17"/>
              <w:bidi w:val="0"/>
              <w:rPr>
                <w:rFonts w:hint="default"/>
              </w:rPr>
            </w:pPr>
            <w:r>
              <w:rPr>
                <w:rFonts w:hint="default"/>
              </w:rPr>
              <w:t>III</w:t>
            </w:r>
          </w:p>
        </w:tc>
        <w:tc>
          <w:tcPr>
            <w:tcW w:w="244" w:type="pct"/>
            <w:noWrap w:val="0"/>
            <w:vAlign w:val="center"/>
          </w:tcPr>
          <w:p w14:paraId="2EBAC2A1">
            <w:pPr>
              <w:pStyle w:val="17"/>
              <w:bidi w:val="0"/>
              <w:rPr>
                <w:rFonts w:hint="default"/>
              </w:rPr>
            </w:pPr>
            <w:r>
              <w:rPr>
                <w:rFonts w:hint="default"/>
              </w:rPr>
              <w:t>III</w:t>
            </w:r>
          </w:p>
        </w:tc>
        <w:tc>
          <w:tcPr>
            <w:tcW w:w="356" w:type="pct"/>
            <w:noWrap w:val="0"/>
            <w:vAlign w:val="center"/>
          </w:tcPr>
          <w:p w14:paraId="58D05CE7">
            <w:pPr>
              <w:pStyle w:val="17"/>
              <w:bidi w:val="0"/>
              <w:rPr>
                <w:rFonts w:hint="default"/>
              </w:rPr>
            </w:pPr>
            <w:r>
              <w:rPr>
                <w:rFonts w:hint="default"/>
              </w:rPr>
              <w:t>III</w:t>
            </w:r>
          </w:p>
        </w:tc>
        <w:tc>
          <w:tcPr>
            <w:tcW w:w="309" w:type="pct"/>
            <w:noWrap w:val="0"/>
            <w:vAlign w:val="center"/>
          </w:tcPr>
          <w:p w14:paraId="5A6FD0FB">
            <w:pPr>
              <w:pStyle w:val="17"/>
              <w:bidi w:val="0"/>
              <w:rPr>
                <w:rFonts w:hint="default"/>
              </w:rPr>
            </w:pPr>
            <w:r>
              <w:rPr>
                <w:rFonts w:hint="default"/>
              </w:rPr>
              <w:t>III</w:t>
            </w:r>
          </w:p>
        </w:tc>
        <w:tc>
          <w:tcPr>
            <w:tcW w:w="289" w:type="pct"/>
            <w:noWrap w:val="0"/>
            <w:vAlign w:val="center"/>
          </w:tcPr>
          <w:p w14:paraId="6070F38E">
            <w:pPr>
              <w:pStyle w:val="17"/>
              <w:bidi w:val="0"/>
              <w:rPr>
                <w:rFonts w:hint="default"/>
              </w:rPr>
            </w:pPr>
            <w:r>
              <w:rPr>
                <w:rFonts w:hint="default"/>
              </w:rPr>
              <w:t>III</w:t>
            </w:r>
          </w:p>
        </w:tc>
        <w:tc>
          <w:tcPr>
            <w:tcW w:w="299" w:type="pct"/>
            <w:noWrap w:val="0"/>
            <w:vAlign w:val="center"/>
          </w:tcPr>
          <w:p w14:paraId="2DB3ABE5">
            <w:pPr>
              <w:pStyle w:val="17"/>
              <w:bidi w:val="0"/>
              <w:rPr>
                <w:rFonts w:hint="default"/>
              </w:rPr>
            </w:pPr>
            <w:r>
              <w:rPr>
                <w:rFonts w:hint="default"/>
              </w:rPr>
              <w:t>III</w:t>
            </w:r>
          </w:p>
        </w:tc>
        <w:tc>
          <w:tcPr>
            <w:tcW w:w="299" w:type="pct"/>
            <w:noWrap w:val="0"/>
            <w:vAlign w:val="center"/>
          </w:tcPr>
          <w:p w14:paraId="1AAE176A">
            <w:pPr>
              <w:pStyle w:val="17"/>
              <w:bidi w:val="0"/>
              <w:rPr>
                <w:rFonts w:hint="default"/>
              </w:rPr>
            </w:pPr>
            <w:r>
              <w:rPr>
                <w:rFonts w:hint="default"/>
              </w:rPr>
              <w:t>III</w:t>
            </w:r>
          </w:p>
        </w:tc>
        <w:tc>
          <w:tcPr>
            <w:tcW w:w="299" w:type="pct"/>
            <w:noWrap w:val="0"/>
            <w:vAlign w:val="center"/>
          </w:tcPr>
          <w:p w14:paraId="2AB3C3A6">
            <w:pPr>
              <w:pStyle w:val="17"/>
              <w:bidi w:val="0"/>
              <w:rPr>
                <w:rFonts w:hint="default"/>
              </w:rPr>
            </w:pPr>
            <w:r>
              <w:rPr>
                <w:rFonts w:hint="default"/>
              </w:rPr>
              <w:t>III</w:t>
            </w:r>
          </w:p>
        </w:tc>
        <w:tc>
          <w:tcPr>
            <w:tcW w:w="299" w:type="pct"/>
            <w:noWrap w:val="0"/>
            <w:vAlign w:val="center"/>
          </w:tcPr>
          <w:p w14:paraId="1B20FB71">
            <w:pPr>
              <w:pStyle w:val="17"/>
              <w:bidi w:val="0"/>
              <w:rPr>
                <w:rFonts w:hint="default"/>
              </w:rPr>
            </w:pPr>
            <w:r>
              <w:rPr>
                <w:rFonts w:hint="default"/>
              </w:rPr>
              <w:t>III</w:t>
            </w:r>
          </w:p>
        </w:tc>
        <w:tc>
          <w:tcPr>
            <w:tcW w:w="299" w:type="pct"/>
            <w:noWrap w:val="0"/>
            <w:vAlign w:val="center"/>
          </w:tcPr>
          <w:p w14:paraId="692B86F9">
            <w:pPr>
              <w:pStyle w:val="17"/>
              <w:bidi w:val="0"/>
              <w:rPr>
                <w:rFonts w:hint="default"/>
              </w:rPr>
            </w:pPr>
            <w:r>
              <w:rPr>
                <w:rFonts w:hint="default"/>
              </w:rPr>
              <w:t>III</w:t>
            </w:r>
          </w:p>
        </w:tc>
        <w:tc>
          <w:tcPr>
            <w:tcW w:w="345" w:type="pct"/>
            <w:noWrap w:val="0"/>
            <w:vAlign w:val="center"/>
          </w:tcPr>
          <w:p w14:paraId="78B0B3B0">
            <w:pPr>
              <w:pStyle w:val="17"/>
              <w:bidi w:val="0"/>
              <w:rPr>
                <w:rFonts w:hint="default"/>
              </w:rPr>
            </w:pPr>
            <w:r>
              <w:rPr>
                <w:rFonts w:hint="default"/>
              </w:rPr>
              <w:t>III</w:t>
            </w:r>
          </w:p>
        </w:tc>
        <w:tc>
          <w:tcPr>
            <w:tcW w:w="341" w:type="pct"/>
            <w:noWrap w:val="0"/>
            <w:vAlign w:val="center"/>
          </w:tcPr>
          <w:p w14:paraId="7FE9692C">
            <w:pPr>
              <w:pStyle w:val="17"/>
              <w:bidi w:val="0"/>
              <w:rPr>
                <w:rFonts w:hint="default"/>
              </w:rPr>
            </w:pPr>
            <w:r>
              <w:rPr>
                <w:rFonts w:hint="default"/>
              </w:rPr>
              <w:t>III</w:t>
            </w:r>
          </w:p>
        </w:tc>
        <w:tc>
          <w:tcPr>
            <w:tcW w:w="345" w:type="pct"/>
            <w:noWrap w:val="0"/>
            <w:vAlign w:val="center"/>
          </w:tcPr>
          <w:p w14:paraId="43C997CB">
            <w:pPr>
              <w:pStyle w:val="17"/>
              <w:bidi w:val="0"/>
              <w:rPr>
                <w:rFonts w:hint="default"/>
              </w:rPr>
            </w:pPr>
            <w:r>
              <w:rPr>
                <w:rFonts w:hint="default"/>
              </w:rPr>
              <w:t>III</w:t>
            </w:r>
          </w:p>
        </w:tc>
        <w:tc>
          <w:tcPr>
            <w:tcW w:w="411" w:type="pct"/>
            <w:noWrap w:val="0"/>
            <w:vAlign w:val="center"/>
          </w:tcPr>
          <w:p w14:paraId="2204B7C1">
            <w:pPr>
              <w:pStyle w:val="17"/>
              <w:bidi w:val="0"/>
              <w:rPr>
                <w:rFonts w:hint="default"/>
              </w:rPr>
            </w:pPr>
            <w:r>
              <w:rPr>
                <w:rFonts w:hint="default"/>
              </w:rPr>
              <w:t>III</w:t>
            </w:r>
          </w:p>
        </w:tc>
      </w:tr>
      <w:tr w14:paraId="66B34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415" w:type="pct"/>
            <w:noWrap w:val="0"/>
            <w:vAlign w:val="center"/>
          </w:tcPr>
          <w:p w14:paraId="22238376">
            <w:pPr>
              <w:pStyle w:val="17"/>
              <w:bidi w:val="0"/>
              <w:rPr>
                <w:rFonts w:hint="default"/>
              </w:rPr>
            </w:pPr>
            <w:r>
              <w:rPr>
                <w:rFonts w:hint="default"/>
              </w:rPr>
              <w:t>2016</w:t>
            </w:r>
          </w:p>
        </w:tc>
        <w:tc>
          <w:tcPr>
            <w:tcW w:w="450" w:type="pct"/>
            <w:noWrap w:val="0"/>
            <w:vAlign w:val="center"/>
          </w:tcPr>
          <w:p w14:paraId="4543BA59">
            <w:pPr>
              <w:pStyle w:val="17"/>
              <w:bidi w:val="0"/>
              <w:rPr>
                <w:rFonts w:hint="default"/>
              </w:rPr>
            </w:pPr>
            <w:r>
              <w:rPr>
                <w:rFonts w:hint="default"/>
              </w:rPr>
              <w:t>III</w:t>
            </w:r>
          </w:p>
        </w:tc>
        <w:tc>
          <w:tcPr>
            <w:tcW w:w="244" w:type="pct"/>
            <w:noWrap w:val="0"/>
            <w:vAlign w:val="center"/>
          </w:tcPr>
          <w:p w14:paraId="4F183751">
            <w:pPr>
              <w:pStyle w:val="17"/>
              <w:bidi w:val="0"/>
              <w:rPr>
                <w:rFonts w:hint="default"/>
              </w:rPr>
            </w:pPr>
            <w:r>
              <w:rPr>
                <w:rFonts w:hint="default"/>
              </w:rPr>
              <w:t>III</w:t>
            </w:r>
          </w:p>
        </w:tc>
        <w:tc>
          <w:tcPr>
            <w:tcW w:w="356" w:type="pct"/>
            <w:noWrap w:val="0"/>
            <w:vAlign w:val="center"/>
          </w:tcPr>
          <w:p w14:paraId="2073EF18">
            <w:pPr>
              <w:pStyle w:val="17"/>
              <w:bidi w:val="0"/>
              <w:rPr>
                <w:rFonts w:hint="default"/>
              </w:rPr>
            </w:pPr>
            <w:r>
              <w:rPr>
                <w:rFonts w:hint="default"/>
              </w:rPr>
              <w:t>III</w:t>
            </w:r>
          </w:p>
        </w:tc>
        <w:tc>
          <w:tcPr>
            <w:tcW w:w="309" w:type="pct"/>
            <w:noWrap w:val="0"/>
            <w:vAlign w:val="center"/>
          </w:tcPr>
          <w:p w14:paraId="43EB5495">
            <w:pPr>
              <w:pStyle w:val="17"/>
              <w:bidi w:val="0"/>
              <w:rPr>
                <w:rFonts w:hint="default"/>
              </w:rPr>
            </w:pPr>
            <w:r>
              <w:rPr>
                <w:rFonts w:hint="default"/>
              </w:rPr>
              <w:t>III</w:t>
            </w:r>
          </w:p>
        </w:tc>
        <w:tc>
          <w:tcPr>
            <w:tcW w:w="289" w:type="pct"/>
            <w:noWrap w:val="0"/>
            <w:vAlign w:val="center"/>
          </w:tcPr>
          <w:p w14:paraId="2DE754DD">
            <w:pPr>
              <w:pStyle w:val="17"/>
              <w:bidi w:val="0"/>
              <w:rPr>
                <w:rFonts w:hint="default"/>
              </w:rPr>
            </w:pPr>
            <w:r>
              <w:rPr>
                <w:rFonts w:hint="default"/>
              </w:rPr>
              <w:t>III</w:t>
            </w:r>
          </w:p>
        </w:tc>
        <w:tc>
          <w:tcPr>
            <w:tcW w:w="299" w:type="pct"/>
            <w:noWrap w:val="0"/>
            <w:vAlign w:val="center"/>
          </w:tcPr>
          <w:p w14:paraId="1A36C7CC">
            <w:pPr>
              <w:pStyle w:val="17"/>
              <w:bidi w:val="0"/>
              <w:rPr>
                <w:rFonts w:hint="default"/>
              </w:rPr>
            </w:pPr>
            <w:r>
              <w:rPr>
                <w:rFonts w:hint="default"/>
              </w:rPr>
              <w:t>III</w:t>
            </w:r>
          </w:p>
        </w:tc>
        <w:tc>
          <w:tcPr>
            <w:tcW w:w="299" w:type="pct"/>
            <w:noWrap w:val="0"/>
            <w:vAlign w:val="center"/>
          </w:tcPr>
          <w:p w14:paraId="12775350">
            <w:pPr>
              <w:pStyle w:val="17"/>
              <w:bidi w:val="0"/>
              <w:rPr>
                <w:rFonts w:hint="default"/>
              </w:rPr>
            </w:pPr>
            <w:r>
              <w:rPr>
                <w:rFonts w:hint="default"/>
              </w:rPr>
              <w:t>IV</w:t>
            </w:r>
          </w:p>
        </w:tc>
        <w:tc>
          <w:tcPr>
            <w:tcW w:w="299" w:type="pct"/>
            <w:noWrap w:val="0"/>
            <w:vAlign w:val="center"/>
          </w:tcPr>
          <w:p w14:paraId="2C4E8A59">
            <w:pPr>
              <w:pStyle w:val="17"/>
              <w:bidi w:val="0"/>
              <w:rPr>
                <w:rFonts w:hint="default"/>
              </w:rPr>
            </w:pPr>
            <w:r>
              <w:rPr>
                <w:rFonts w:hint="default"/>
              </w:rPr>
              <w:t>III</w:t>
            </w:r>
          </w:p>
        </w:tc>
        <w:tc>
          <w:tcPr>
            <w:tcW w:w="299" w:type="pct"/>
            <w:noWrap w:val="0"/>
            <w:vAlign w:val="center"/>
          </w:tcPr>
          <w:p w14:paraId="3A89927E">
            <w:pPr>
              <w:pStyle w:val="17"/>
              <w:bidi w:val="0"/>
              <w:rPr>
                <w:rFonts w:hint="default"/>
              </w:rPr>
            </w:pPr>
            <w:r>
              <w:rPr>
                <w:rFonts w:hint="default"/>
              </w:rPr>
              <w:t>III</w:t>
            </w:r>
          </w:p>
        </w:tc>
        <w:tc>
          <w:tcPr>
            <w:tcW w:w="299" w:type="pct"/>
            <w:noWrap w:val="0"/>
            <w:vAlign w:val="center"/>
          </w:tcPr>
          <w:p w14:paraId="5C04E031">
            <w:pPr>
              <w:pStyle w:val="17"/>
              <w:bidi w:val="0"/>
              <w:rPr>
                <w:rFonts w:hint="default"/>
              </w:rPr>
            </w:pPr>
            <w:r>
              <w:rPr>
                <w:rFonts w:hint="default"/>
              </w:rPr>
              <w:t>III</w:t>
            </w:r>
          </w:p>
        </w:tc>
        <w:tc>
          <w:tcPr>
            <w:tcW w:w="345" w:type="pct"/>
            <w:noWrap w:val="0"/>
            <w:vAlign w:val="center"/>
          </w:tcPr>
          <w:p w14:paraId="3B50839D">
            <w:pPr>
              <w:pStyle w:val="17"/>
              <w:bidi w:val="0"/>
              <w:rPr>
                <w:rFonts w:hint="default"/>
              </w:rPr>
            </w:pPr>
            <w:r>
              <w:rPr>
                <w:rFonts w:hint="default"/>
              </w:rPr>
              <w:fldChar w:fldCharType="begin"/>
            </w:r>
            <w:r>
              <w:rPr>
                <w:rFonts w:hint="default"/>
              </w:rPr>
              <w:instrText xml:space="preserve"> = 4 \* ROMAN </w:instrText>
            </w:r>
            <w:r>
              <w:rPr>
                <w:rFonts w:hint="default"/>
              </w:rPr>
              <w:fldChar w:fldCharType="separate"/>
            </w:r>
            <w:r>
              <w:rPr>
                <w:rFonts w:hint="default"/>
              </w:rPr>
              <w:t>IV</w:t>
            </w:r>
            <w:r>
              <w:rPr>
                <w:rFonts w:hint="default"/>
              </w:rPr>
              <w:fldChar w:fldCharType="end"/>
            </w:r>
          </w:p>
        </w:tc>
        <w:tc>
          <w:tcPr>
            <w:tcW w:w="341" w:type="pct"/>
            <w:noWrap w:val="0"/>
            <w:vAlign w:val="center"/>
          </w:tcPr>
          <w:p w14:paraId="0FD7919E">
            <w:pPr>
              <w:pStyle w:val="17"/>
              <w:bidi w:val="0"/>
              <w:rPr>
                <w:rFonts w:hint="default"/>
              </w:rPr>
            </w:pPr>
            <w:r>
              <w:rPr>
                <w:rFonts w:hint="default"/>
              </w:rPr>
              <w:fldChar w:fldCharType="begin"/>
            </w:r>
            <w:r>
              <w:rPr>
                <w:rFonts w:hint="default"/>
              </w:rPr>
              <w:instrText xml:space="preserve"> = 4 \* ROMAN </w:instrText>
            </w:r>
            <w:r>
              <w:rPr>
                <w:rFonts w:hint="default"/>
              </w:rPr>
              <w:fldChar w:fldCharType="separate"/>
            </w:r>
            <w:r>
              <w:rPr>
                <w:rFonts w:hint="default"/>
              </w:rPr>
              <w:t>IV</w:t>
            </w:r>
            <w:r>
              <w:rPr>
                <w:rFonts w:hint="default"/>
              </w:rPr>
              <w:fldChar w:fldCharType="end"/>
            </w:r>
          </w:p>
        </w:tc>
        <w:tc>
          <w:tcPr>
            <w:tcW w:w="345" w:type="pct"/>
            <w:noWrap w:val="0"/>
            <w:vAlign w:val="center"/>
          </w:tcPr>
          <w:p w14:paraId="21ABA9C5">
            <w:pPr>
              <w:pStyle w:val="17"/>
              <w:bidi w:val="0"/>
              <w:rPr>
                <w:rFonts w:hint="default"/>
              </w:rPr>
            </w:pPr>
            <w:r>
              <w:rPr>
                <w:rFonts w:hint="default"/>
              </w:rPr>
              <w:fldChar w:fldCharType="begin"/>
            </w:r>
            <w:r>
              <w:rPr>
                <w:rFonts w:hint="default"/>
              </w:rPr>
              <w:instrText xml:space="preserve"> = 4 \* ROMAN </w:instrText>
            </w:r>
            <w:r>
              <w:rPr>
                <w:rFonts w:hint="default"/>
              </w:rPr>
              <w:fldChar w:fldCharType="separate"/>
            </w:r>
            <w:r>
              <w:rPr>
                <w:rFonts w:hint="default"/>
              </w:rPr>
              <w:t>IV</w:t>
            </w:r>
            <w:r>
              <w:rPr>
                <w:rFonts w:hint="default"/>
              </w:rPr>
              <w:fldChar w:fldCharType="end"/>
            </w:r>
          </w:p>
        </w:tc>
        <w:tc>
          <w:tcPr>
            <w:tcW w:w="411" w:type="pct"/>
            <w:noWrap w:val="0"/>
            <w:vAlign w:val="center"/>
          </w:tcPr>
          <w:p w14:paraId="198E19EC">
            <w:pPr>
              <w:pStyle w:val="17"/>
              <w:bidi w:val="0"/>
              <w:rPr>
                <w:rFonts w:hint="default"/>
              </w:rPr>
            </w:pPr>
            <w:r>
              <w:rPr>
                <w:rFonts w:hint="default"/>
              </w:rPr>
              <w:t>III</w:t>
            </w:r>
          </w:p>
        </w:tc>
      </w:tr>
      <w:tr w14:paraId="6F683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415" w:type="pct"/>
            <w:noWrap w:val="0"/>
            <w:vAlign w:val="center"/>
          </w:tcPr>
          <w:p w14:paraId="5CFA3EA3">
            <w:pPr>
              <w:pStyle w:val="17"/>
              <w:bidi w:val="0"/>
              <w:rPr>
                <w:rFonts w:hint="default"/>
              </w:rPr>
            </w:pPr>
            <w:r>
              <w:rPr>
                <w:rFonts w:hint="default"/>
              </w:rPr>
              <w:t>2017</w:t>
            </w:r>
          </w:p>
        </w:tc>
        <w:tc>
          <w:tcPr>
            <w:tcW w:w="450" w:type="pct"/>
            <w:noWrap w:val="0"/>
            <w:vAlign w:val="center"/>
          </w:tcPr>
          <w:p w14:paraId="46B41CB6">
            <w:pPr>
              <w:pStyle w:val="17"/>
              <w:bidi w:val="0"/>
              <w:rPr>
                <w:rFonts w:hint="default"/>
              </w:rPr>
            </w:pPr>
            <w:r>
              <w:rPr>
                <w:rFonts w:hint="default"/>
              </w:rPr>
              <w:t>III</w:t>
            </w:r>
          </w:p>
        </w:tc>
        <w:tc>
          <w:tcPr>
            <w:tcW w:w="244" w:type="pct"/>
            <w:noWrap w:val="0"/>
            <w:vAlign w:val="center"/>
          </w:tcPr>
          <w:p w14:paraId="3C04AA4A">
            <w:pPr>
              <w:pStyle w:val="17"/>
              <w:bidi w:val="0"/>
              <w:rPr>
                <w:rFonts w:hint="default"/>
              </w:rPr>
            </w:pPr>
            <w:r>
              <w:rPr>
                <w:rFonts w:hint="default"/>
              </w:rPr>
              <w:t>IV</w:t>
            </w:r>
          </w:p>
        </w:tc>
        <w:tc>
          <w:tcPr>
            <w:tcW w:w="356" w:type="pct"/>
            <w:noWrap w:val="0"/>
            <w:vAlign w:val="center"/>
          </w:tcPr>
          <w:p w14:paraId="5D5E7CC7">
            <w:pPr>
              <w:pStyle w:val="17"/>
              <w:bidi w:val="0"/>
              <w:rPr>
                <w:rFonts w:hint="default"/>
              </w:rPr>
            </w:pPr>
            <w:r>
              <w:rPr>
                <w:rFonts w:hint="default"/>
              </w:rPr>
              <w:t>III</w:t>
            </w:r>
          </w:p>
        </w:tc>
        <w:tc>
          <w:tcPr>
            <w:tcW w:w="309" w:type="pct"/>
            <w:noWrap w:val="0"/>
            <w:vAlign w:val="center"/>
          </w:tcPr>
          <w:p w14:paraId="5593E7D1">
            <w:pPr>
              <w:pStyle w:val="17"/>
              <w:bidi w:val="0"/>
              <w:rPr>
                <w:rFonts w:hint="default"/>
              </w:rPr>
            </w:pPr>
            <w:r>
              <w:rPr>
                <w:rFonts w:hint="default"/>
              </w:rPr>
              <w:t>III</w:t>
            </w:r>
          </w:p>
        </w:tc>
        <w:tc>
          <w:tcPr>
            <w:tcW w:w="289" w:type="pct"/>
            <w:noWrap w:val="0"/>
            <w:vAlign w:val="center"/>
          </w:tcPr>
          <w:p w14:paraId="42CE2DBC">
            <w:pPr>
              <w:pStyle w:val="17"/>
              <w:bidi w:val="0"/>
              <w:rPr>
                <w:rFonts w:hint="default"/>
              </w:rPr>
            </w:pPr>
            <w:r>
              <w:rPr>
                <w:rFonts w:hint="default"/>
              </w:rPr>
              <w:t>III</w:t>
            </w:r>
          </w:p>
        </w:tc>
        <w:tc>
          <w:tcPr>
            <w:tcW w:w="299" w:type="pct"/>
            <w:noWrap w:val="0"/>
            <w:vAlign w:val="center"/>
          </w:tcPr>
          <w:p w14:paraId="225737E0">
            <w:pPr>
              <w:pStyle w:val="17"/>
              <w:bidi w:val="0"/>
              <w:rPr>
                <w:rFonts w:hint="default"/>
              </w:rPr>
            </w:pPr>
            <w:r>
              <w:rPr>
                <w:rFonts w:hint="default"/>
              </w:rPr>
              <w:t>III</w:t>
            </w:r>
          </w:p>
        </w:tc>
        <w:tc>
          <w:tcPr>
            <w:tcW w:w="299" w:type="pct"/>
            <w:noWrap w:val="0"/>
            <w:vAlign w:val="center"/>
          </w:tcPr>
          <w:p w14:paraId="4EDA1C65">
            <w:pPr>
              <w:pStyle w:val="17"/>
              <w:bidi w:val="0"/>
              <w:rPr>
                <w:rFonts w:hint="default"/>
              </w:rPr>
            </w:pPr>
            <w:r>
              <w:rPr>
                <w:rFonts w:hint="default"/>
              </w:rPr>
              <w:t>III</w:t>
            </w:r>
          </w:p>
        </w:tc>
        <w:tc>
          <w:tcPr>
            <w:tcW w:w="299" w:type="pct"/>
            <w:noWrap w:val="0"/>
            <w:vAlign w:val="center"/>
          </w:tcPr>
          <w:p w14:paraId="339160F2">
            <w:pPr>
              <w:pStyle w:val="17"/>
              <w:bidi w:val="0"/>
              <w:rPr>
                <w:rFonts w:hint="default"/>
              </w:rPr>
            </w:pPr>
            <w:r>
              <w:rPr>
                <w:rFonts w:hint="default"/>
              </w:rPr>
              <w:t>III</w:t>
            </w:r>
          </w:p>
        </w:tc>
        <w:tc>
          <w:tcPr>
            <w:tcW w:w="299" w:type="pct"/>
            <w:noWrap w:val="0"/>
            <w:vAlign w:val="center"/>
          </w:tcPr>
          <w:p w14:paraId="1B31E4A2">
            <w:pPr>
              <w:pStyle w:val="17"/>
              <w:bidi w:val="0"/>
              <w:rPr>
                <w:rFonts w:hint="default"/>
              </w:rPr>
            </w:pPr>
            <w:r>
              <w:rPr>
                <w:rFonts w:hint="default"/>
              </w:rPr>
              <w:t>III</w:t>
            </w:r>
          </w:p>
        </w:tc>
        <w:tc>
          <w:tcPr>
            <w:tcW w:w="299" w:type="pct"/>
            <w:noWrap w:val="0"/>
            <w:vAlign w:val="center"/>
          </w:tcPr>
          <w:p w14:paraId="660540A3">
            <w:pPr>
              <w:pStyle w:val="17"/>
              <w:bidi w:val="0"/>
              <w:rPr>
                <w:rFonts w:hint="default"/>
              </w:rPr>
            </w:pPr>
            <w:r>
              <w:rPr>
                <w:rFonts w:hint="default"/>
              </w:rPr>
              <w:t>III</w:t>
            </w:r>
          </w:p>
        </w:tc>
        <w:tc>
          <w:tcPr>
            <w:tcW w:w="345" w:type="pct"/>
            <w:noWrap w:val="0"/>
            <w:vAlign w:val="center"/>
          </w:tcPr>
          <w:p w14:paraId="542A182F">
            <w:pPr>
              <w:pStyle w:val="17"/>
              <w:bidi w:val="0"/>
              <w:rPr>
                <w:rFonts w:hint="default"/>
              </w:rPr>
            </w:pPr>
            <w:r>
              <w:rPr>
                <w:rFonts w:hint="default"/>
              </w:rPr>
              <w:t>III</w:t>
            </w:r>
          </w:p>
        </w:tc>
        <w:tc>
          <w:tcPr>
            <w:tcW w:w="341" w:type="pct"/>
            <w:noWrap w:val="0"/>
            <w:vAlign w:val="center"/>
          </w:tcPr>
          <w:p w14:paraId="0D9DFA03">
            <w:pPr>
              <w:pStyle w:val="17"/>
              <w:bidi w:val="0"/>
              <w:rPr>
                <w:rFonts w:hint="default"/>
              </w:rPr>
            </w:pPr>
            <w:r>
              <w:rPr>
                <w:rFonts w:hint="default"/>
              </w:rPr>
              <w:t>III</w:t>
            </w:r>
          </w:p>
        </w:tc>
        <w:tc>
          <w:tcPr>
            <w:tcW w:w="345" w:type="pct"/>
            <w:noWrap w:val="0"/>
            <w:vAlign w:val="center"/>
          </w:tcPr>
          <w:p w14:paraId="4E6EA461">
            <w:pPr>
              <w:pStyle w:val="17"/>
              <w:bidi w:val="0"/>
              <w:rPr>
                <w:rFonts w:hint="default"/>
              </w:rPr>
            </w:pPr>
            <w:r>
              <w:rPr>
                <w:rFonts w:hint="default"/>
              </w:rPr>
              <w:t>III</w:t>
            </w:r>
          </w:p>
        </w:tc>
        <w:tc>
          <w:tcPr>
            <w:tcW w:w="411" w:type="pct"/>
            <w:noWrap w:val="0"/>
            <w:vAlign w:val="center"/>
          </w:tcPr>
          <w:p w14:paraId="71927F16">
            <w:pPr>
              <w:pStyle w:val="17"/>
              <w:bidi w:val="0"/>
              <w:rPr>
                <w:rFonts w:hint="default"/>
              </w:rPr>
            </w:pPr>
            <w:r>
              <w:rPr>
                <w:rFonts w:hint="default"/>
              </w:rPr>
              <w:t>III</w:t>
            </w:r>
          </w:p>
        </w:tc>
      </w:tr>
      <w:tr w14:paraId="1D59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415" w:type="pct"/>
            <w:noWrap w:val="0"/>
            <w:vAlign w:val="center"/>
          </w:tcPr>
          <w:p w14:paraId="33EE7BCF">
            <w:pPr>
              <w:pStyle w:val="17"/>
              <w:bidi w:val="0"/>
              <w:rPr>
                <w:rFonts w:hint="default"/>
              </w:rPr>
            </w:pPr>
            <w:r>
              <w:rPr>
                <w:rFonts w:hint="default"/>
              </w:rPr>
              <w:t>2018</w:t>
            </w:r>
          </w:p>
        </w:tc>
        <w:tc>
          <w:tcPr>
            <w:tcW w:w="450" w:type="pct"/>
            <w:noWrap w:val="0"/>
            <w:vAlign w:val="center"/>
          </w:tcPr>
          <w:p w14:paraId="6D34D028">
            <w:pPr>
              <w:pStyle w:val="17"/>
              <w:bidi w:val="0"/>
              <w:rPr>
                <w:rFonts w:hint="default"/>
              </w:rPr>
            </w:pPr>
            <w:r>
              <w:rPr>
                <w:rFonts w:hint="default"/>
              </w:rPr>
              <w:t>III</w:t>
            </w:r>
          </w:p>
        </w:tc>
        <w:tc>
          <w:tcPr>
            <w:tcW w:w="244" w:type="pct"/>
            <w:noWrap w:val="0"/>
            <w:vAlign w:val="center"/>
          </w:tcPr>
          <w:p w14:paraId="42D1DC02">
            <w:pPr>
              <w:pStyle w:val="17"/>
              <w:bidi w:val="0"/>
              <w:rPr>
                <w:rFonts w:hint="default"/>
              </w:rPr>
            </w:pPr>
            <w:r>
              <w:rPr>
                <w:rFonts w:hint="default"/>
              </w:rPr>
              <w:t>III</w:t>
            </w:r>
          </w:p>
        </w:tc>
        <w:tc>
          <w:tcPr>
            <w:tcW w:w="356" w:type="pct"/>
            <w:noWrap w:val="0"/>
            <w:vAlign w:val="center"/>
          </w:tcPr>
          <w:p w14:paraId="7F50CF4A">
            <w:pPr>
              <w:pStyle w:val="17"/>
              <w:bidi w:val="0"/>
              <w:rPr>
                <w:rFonts w:hint="default"/>
              </w:rPr>
            </w:pPr>
            <w:r>
              <w:rPr>
                <w:rFonts w:hint="default"/>
              </w:rPr>
              <w:t>III</w:t>
            </w:r>
          </w:p>
        </w:tc>
        <w:tc>
          <w:tcPr>
            <w:tcW w:w="309" w:type="pct"/>
            <w:noWrap w:val="0"/>
            <w:vAlign w:val="center"/>
          </w:tcPr>
          <w:p w14:paraId="1F9F44C5">
            <w:pPr>
              <w:pStyle w:val="17"/>
              <w:bidi w:val="0"/>
              <w:rPr>
                <w:rFonts w:hint="default"/>
              </w:rPr>
            </w:pPr>
            <w:r>
              <w:rPr>
                <w:rFonts w:hint="default"/>
              </w:rPr>
              <w:t>III</w:t>
            </w:r>
          </w:p>
        </w:tc>
        <w:tc>
          <w:tcPr>
            <w:tcW w:w="289" w:type="pct"/>
            <w:noWrap w:val="0"/>
            <w:vAlign w:val="center"/>
          </w:tcPr>
          <w:p w14:paraId="61BDDA36">
            <w:pPr>
              <w:pStyle w:val="17"/>
              <w:bidi w:val="0"/>
              <w:rPr>
                <w:rFonts w:hint="default"/>
              </w:rPr>
            </w:pPr>
            <w:r>
              <w:rPr>
                <w:rFonts w:hint="default"/>
              </w:rPr>
              <w:t>III</w:t>
            </w:r>
          </w:p>
        </w:tc>
        <w:tc>
          <w:tcPr>
            <w:tcW w:w="299" w:type="pct"/>
            <w:noWrap w:val="0"/>
            <w:vAlign w:val="center"/>
          </w:tcPr>
          <w:p w14:paraId="3F4118F7">
            <w:pPr>
              <w:pStyle w:val="17"/>
              <w:bidi w:val="0"/>
              <w:rPr>
                <w:rFonts w:hint="default"/>
              </w:rPr>
            </w:pPr>
            <w:r>
              <w:rPr>
                <w:rFonts w:hint="default"/>
              </w:rPr>
              <w:t>III</w:t>
            </w:r>
          </w:p>
        </w:tc>
        <w:tc>
          <w:tcPr>
            <w:tcW w:w="299" w:type="pct"/>
            <w:noWrap w:val="0"/>
            <w:vAlign w:val="center"/>
          </w:tcPr>
          <w:p w14:paraId="372AAF97">
            <w:pPr>
              <w:pStyle w:val="17"/>
              <w:bidi w:val="0"/>
              <w:rPr>
                <w:rFonts w:hint="default"/>
              </w:rPr>
            </w:pPr>
            <w:r>
              <w:rPr>
                <w:rFonts w:hint="default"/>
              </w:rPr>
              <w:t>III</w:t>
            </w:r>
          </w:p>
        </w:tc>
        <w:tc>
          <w:tcPr>
            <w:tcW w:w="299" w:type="pct"/>
            <w:noWrap w:val="0"/>
            <w:vAlign w:val="center"/>
          </w:tcPr>
          <w:p w14:paraId="1E8EC67D">
            <w:pPr>
              <w:pStyle w:val="17"/>
              <w:bidi w:val="0"/>
              <w:rPr>
                <w:rFonts w:hint="default"/>
              </w:rPr>
            </w:pPr>
            <w:r>
              <w:rPr>
                <w:rFonts w:hint="default"/>
              </w:rPr>
              <w:t>III</w:t>
            </w:r>
          </w:p>
        </w:tc>
        <w:tc>
          <w:tcPr>
            <w:tcW w:w="299" w:type="pct"/>
            <w:noWrap w:val="0"/>
            <w:vAlign w:val="center"/>
          </w:tcPr>
          <w:p w14:paraId="4358857A">
            <w:pPr>
              <w:pStyle w:val="17"/>
              <w:bidi w:val="0"/>
              <w:rPr>
                <w:rFonts w:hint="default"/>
              </w:rPr>
            </w:pPr>
            <w:r>
              <w:rPr>
                <w:rFonts w:hint="default"/>
              </w:rPr>
              <w:t>III</w:t>
            </w:r>
          </w:p>
        </w:tc>
        <w:tc>
          <w:tcPr>
            <w:tcW w:w="299" w:type="pct"/>
            <w:noWrap w:val="0"/>
            <w:vAlign w:val="center"/>
          </w:tcPr>
          <w:p w14:paraId="5B4F3BC4">
            <w:pPr>
              <w:pStyle w:val="17"/>
              <w:bidi w:val="0"/>
              <w:rPr>
                <w:rFonts w:hint="default"/>
              </w:rPr>
            </w:pPr>
            <w:r>
              <w:rPr>
                <w:rFonts w:hint="default"/>
              </w:rPr>
              <w:t>III</w:t>
            </w:r>
          </w:p>
        </w:tc>
        <w:tc>
          <w:tcPr>
            <w:tcW w:w="345" w:type="pct"/>
            <w:noWrap w:val="0"/>
            <w:vAlign w:val="center"/>
          </w:tcPr>
          <w:p w14:paraId="0623475C">
            <w:pPr>
              <w:pStyle w:val="17"/>
              <w:bidi w:val="0"/>
              <w:rPr>
                <w:rFonts w:hint="default"/>
              </w:rPr>
            </w:pPr>
            <w:r>
              <w:rPr>
                <w:rFonts w:hint="default"/>
              </w:rPr>
              <w:t>III</w:t>
            </w:r>
          </w:p>
        </w:tc>
        <w:tc>
          <w:tcPr>
            <w:tcW w:w="341" w:type="pct"/>
            <w:noWrap w:val="0"/>
            <w:vAlign w:val="center"/>
          </w:tcPr>
          <w:p w14:paraId="43943B3D">
            <w:pPr>
              <w:pStyle w:val="17"/>
              <w:bidi w:val="0"/>
              <w:rPr>
                <w:rFonts w:hint="default"/>
              </w:rPr>
            </w:pPr>
            <w:r>
              <w:rPr>
                <w:rFonts w:hint="default"/>
              </w:rPr>
              <w:t>III</w:t>
            </w:r>
          </w:p>
        </w:tc>
        <w:tc>
          <w:tcPr>
            <w:tcW w:w="345" w:type="pct"/>
            <w:noWrap w:val="0"/>
            <w:vAlign w:val="center"/>
          </w:tcPr>
          <w:p w14:paraId="357060B9">
            <w:pPr>
              <w:pStyle w:val="17"/>
              <w:bidi w:val="0"/>
              <w:rPr>
                <w:rFonts w:hint="default"/>
              </w:rPr>
            </w:pPr>
            <w:r>
              <w:rPr>
                <w:rFonts w:hint="default"/>
              </w:rPr>
              <w:t>III</w:t>
            </w:r>
          </w:p>
        </w:tc>
        <w:tc>
          <w:tcPr>
            <w:tcW w:w="411" w:type="pct"/>
            <w:noWrap w:val="0"/>
            <w:vAlign w:val="center"/>
          </w:tcPr>
          <w:p w14:paraId="499D1402">
            <w:pPr>
              <w:pStyle w:val="17"/>
              <w:bidi w:val="0"/>
              <w:rPr>
                <w:rFonts w:hint="default"/>
              </w:rPr>
            </w:pPr>
            <w:r>
              <w:rPr>
                <w:rFonts w:hint="default"/>
              </w:rPr>
              <w:t>III</w:t>
            </w:r>
          </w:p>
        </w:tc>
      </w:tr>
      <w:tr w14:paraId="67D09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415" w:type="pct"/>
            <w:noWrap w:val="0"/>
            <w:vAlign w:val="center"/>
          </w:tcPr>
          <w:p w14:paraId="4BC2F378">
            <w:pPr>
              <w:pStyle w:val="17"/>
              <w:bidi w:val="0"/>
              <w:rPr>
                <w:rFonts w:hint="default"/>
              </w:rPr>
            </w:pPr>
            <w:r>
              <w:rPr>
                <w:rFonts w:hint="default"/>
              </w:rPr>
              <w:t>2019</w:t>
            </w:r>
          </w:p>
        </w:tc>
        <w:tc>
          <w:tcPr>
            <w:tcW w:w="450" w:type="pct"/>
            <w:noWrap w:val="0"/>
            <w:vAlign w:val="center"/>
          </w:tcPr>
          <w:p w14:paraId="61400123">
            <w:pPr>
              <w:pStyle w:val="17"/>
              <w:bidi w:val="0"/>
              <w:rPr>
                <w:rFonts w:hint="default"/>
              </w:rPr>
            </w:pPr>
            <w:r>
              <w:rPr>
                <w:rFonts w:hint="default"/>
              </w:rPr>
              <w:t>III</w:t>
            </w:r>
          </w:p>
        </w:tc>
        <w:tc>
          <w:tcPr>
            <w:tcW w:w="244" w:type="pct"/>
            <w:noWrap w:val="0"/>
            <w:vAlign w:val="center"/>
          </w:tcPr>
          <w:p w14:paraId="5D38716C">
            <w:pPr>
              <w:pStyle w:val="17"/>
              <w:bidi w:val="0"/>
              <w:rPr>
                <w:rFonts w:hint="default"/>
              </w:rPr>
            </w:pPr>
            <w:r>
              <w:rPr>
                <w:rFonts w:hint="default"/>
              </w:rPr>
              <w:t>III</w:t>
            </w:r>
          </w:p>
        </w:tc>
        <w:tc>
          <w:tcPr>
            <w:tcW w:w="356" w:type="pct"/>
            <w:noWrap w:val="0"/>
            <w:vAlign w:val="center"/>
          </w:tcPr>
          <w:p w14:paraId="54D4CA08">
            <w:pPr>
              <w:pStyle w:val="17"/>
              <w:bidi w:val="0"/>
              <w:rPr>
                <w:rFonts w:hint="default"/>
              </w:rPr>
            </w:pPr>
            <w:r>
              <w:rPr>
                <w:rFonts w:hint="default"/>
              </w:rPr>
              <w:t>III</w:t>
            </w:r>
          </w:p>
        </w:tc>
        <w:tc>
          <w:tcPr>
            <w:tcW w:w="309" w:type="pct"/>
            <w:noWrap w:val="0"/>
            <w:vAlign w:val="center"/>
          </w:tcPr>
          <w:p w14:paraId="4D670BF9">
            <w:pPr>
              <w:pStyle w:val="17"/>
              <w:bidi w:val="0"/>
              <w:rPr>
                <w:rFonts w:hint="default"/>
              </w:rPr>
            </w:pPr>
            <w:r>
              <w:rPr>
                <w:rFonts w:hint="default"/>
              </w:rPr>
              <w:t>III</w:t>
            </w:r>
          </w:p>
        </w:tc>
        <w:tc>
          <w:tcPr>
            <w:tcW w:w="289" w:type="pct"/>
            <w:noWrap w:val="0"/>
            <w:vAlign w:val="center"/>
          </w:tcPr>
          <w:p w14:paraId="596F7089">
            <w:pPr>
              <w:pStyle w:val="17"/>
              <w:bidi w:val="0"/>
              <w:rPr>
                <w:rFonts w:hint="default"/>
              </w:rPr>
            </w:pPr>
            <w:r>
              <w:rPr>
                <w:rFonts w:hint="default"/>
              </w:rPr>
              <w:t>III</w:t>
            </w:r>
          </w:p>
        </w:tc>
        <w:tc>
          <w:tcPr>
            <w:tcW w:w="299" w:type="pct"/>
            <w:noWrap w:val="0"/>
            <w:vAlign w:val="center"/>
          </w:tcPr>
          <w:p w14:paraId="780C6053">
            <w:pPr>
              <w:pStyle w:val="17"/>
              <w:bidi w:val="0"/>
              <w:rPr>
                <w:rFonts w:hint="default"/>
              </w:rPr>
            </w:pPr>
            <w:r>
              <w:rPr>
                <w:rFonts w:hint="default"/>
              </w:rPr>
              <w:t>III</w:t>
            </w:r>
          </w:p>
        </w:tc>
        <w:tc>
          <w:tcPr>
            <w:tcW w:w="299" w:type="pct"/>
            <w:noWrap w:val="0"/>
            <w:vAlign w:val="center"/>
          </w:tcPr>
          <w:p w14:paraId="2046DE08">
            <w:pPr>
              <w:pStyle w:val="17"/>
              <w:bidi w:val="0"/>
              <w:rPr>
                <w:rFonts w:hint="default"/>
              </w:rPr>
            </w:pPr>
            <w:r>
              <w:rPr>
                <w:rFonts w:hint="default"/>
              </w:rPr>
              <w:t>III</w:t>
            </w:r>
          </w:p>
        </w:tc>
        <w:tc>
          <w:tcPr>
            <w:tcW w:w="299" w:type="pct"/>
            <w:noWrap w:val="0"/>
            <w:vAlign w:val="center"/>
          </w:tcPr>
          <w:p w14:paraId="224EE381">
            <w:pPr>
              <w:pStyle w:val="17"/>
              <w:bidi w:val="0"/>
              <w:rPr>
                <w:rFonts w:hint="default"/>
              </w:rPr>
            </w:pPr>
            <w:r>
              <w:rPr>
                <w:rFonts w:hint="default"/>
              </w:rPr>
              <w:t>III</w:t>
            </w:r>
          </w:p>
        </w:tc>
        <w:tc>
          <w:tcPr>
            <w:tcW w:w="299" w:type="pct"/>
            <w:noWrap w:val="0"/>
            <w:vAlign w:val="center"/>
          </w:tcPr>
          <w:p w14:paraId="42C7D795">
            <w:pPr>
              <w:pStyle w:val="17"/>
              <w:bidi w:val="0"/>
              <w:rPr>
                <w:rFonts w:hint="default"/>
              </w:rPr>
            </w:pPr>
            <w:r>
              <w:rPr>
                <w:rFonts w:hint="default"/>
              </w:rPr>
              <w:t>III</w:t>
            </w:r>
          </w:p>
        </w:tc>
        <w:tc>
          <w:tcPr>
            <w:tcW w:w="299" w:type="pct"/>
            <w:noWrap w:val="0"/>
            <w:vAlign w:val="center"/>
          </w:tcPr>
          <w:p w14:paraId="369352B0">
            <w:pPr>
              <w:pStyle w:val="17"/>
              <w:bidi w:val="0"/>
              <w:rPr>
                <w:rFonts w:hint="default"/>
              </w:rPr>
            </w:pPr>
            <w:r>
              <w:rPr>
                <w:rFonts w:hint="default"/>
              </w:rPr>
              <w:t>III</w:t>
            </w:r>
          </w:p>
        </w:tc>
        <w:tc>
          <w:tcPr>
            <w:tcW w:w="345" w:type="pct"/>
            <w:noWrap w:val="0"/>
            <w:vAlign w:val="center"/>
          </w:tcPr>
          <w:p w14:paraId="713382FF">
            <w:pPr>
              <w:pStyle w:val="17"/>
              <w:bidi w:val="0"/>
              <w:rPr>
                <w:rFonts w:hint="default"/>
              </w:rPr>
            </w:pPr>
            <w:r>
              <w:rPr>
                <w:rFonts w:hint="default"/>
              </w:rPr>
              <w:t>III</w:t>
            </w:r>
          </w:p>
        </w:tc>
        <w:tc>
          <w:tcPr>
            <w:tcW w:w="341" w:type="pct"/>
            <w:noWrap w:val="0"/>
            <w:vAlign w:val="center"/>
          </w:tcPr>
          <w:p w14:paraId="595BB932">
            <w:pPr>
              <w:pStyle w:val="17"/>
              <w:bidi w:val="0"/>
              <w:rPr>
                <w:rFonts w:hint="default"/>
              </w:rPr>
            </w:pPr>
            <w:r>
              <w:rPr>
                <w:rFonts w:hint="default"/>
              </w:rPr>
              <w:t>III</w:t>
            </w:r>
          </w:p>
        </w:tc>
        <w:tc>
          <w:tcPr>
            <w:tcW w:w="345" w:type="pct"/>
            <w:noWrap w:val="0"/>
            <w:vAlign w:val="center"/>
          </w:tcPr>
          <w:p w14:paraId="43077B73">
            <w:pPr>
              <w:pStyle w:val="17"/>
              <w:bidi w:val="0"/>
              <w:rPr>
                <w:rFonts w:hint="default"/>
              </w:rPr>
            </w:pPr>
            <w:r>
              <w:rPr>
                <w:rFonts w:hint="default"/>
              </w:rPr>
              <w:t>III</w:t>
            </w:r>
          </w:p>
        </w:tc>
        <w:tc>
          <w:tcPr>
            <w:tcW w:w="411" w:type="pct"/>
            <w:noWrap w:val="0"/>
            <w:vAlign w:val="center"/>
          </w:tcPr>
          <w:p w14:paraId="3FCD60FB">
            <w:pPr>
              <w:pStyle w:val="17"/>
              <w:bidi w:val="0"/>
              <w:rPr>
                <w:rFonts w:hint="default"/>
              </w:rPr>
            </w:pPr>
            <w:r>
              <w:rPr>
                <w:rFonts w:hint="default"/>
              </w:rPr>
              <w:t>III</w:t>
            </w:r>
          </w:p>
        </w:tc>
      </w:tr>
      <w:tr w14:paraId="5736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 w:hRule="atLeast"/>
          <w:jc w:val="center"/>
        </w:trPr>
        <w:tc>
          <w:tcPr>
            <w:tcW w:w="415" w:type="pct"/>
            <w:noWrap w:val="0"/>
            <w:vAlign w:val="center"/>
          </w:tcPr>
          <w:p w14:paraId="59DBB0CE">
            <w:pPr>
              <w:pStyle w:val="17"/>
              <w:bidi w:val="0"/>
              <w:rPr>
                <w:rFonts w:hint="default"/>
              </w:rPr>
            </w:pPr>
            <w:r>
              <w:rPr>
                <w:rFonts w:hint="default"/>
              </w:rPr>
              <w:t>2020</w:t>
            </w:r>
          </w:p>
        </w:tc>
        <w:tc>
          <w:tcPr>
            <w:tcW w:w="450" w:type="pct"/>
            <w:noWrap w:val="0"/>
            <w:vAlign w:val="center"/>
          </w:tcPr>
          <w:p w14:paraId="42AADDE8">
            <w:pPr>
              <w:pStyle w:val="17"/>
              <w:bidi w:val="0"/>
              <w:rPr>
                <w:rFonts w:hint="default"/>
              </w:rPr>
            </w:pPr>
            <w:r>
              <w:rPr>
                <w:rFonts w:hint="default"/>
              </w:rPr>
              <w:t>III</w:t>
            </w:r>
          </w:p>
        </w:tc>
        <w:tc>
          <w:tcPr>
            <w:tcW w:w="244" w:type="pct"/>
            <w:noWrap w:val="0"/>
            <w:vAlign w:val="center"/>
          </w:tcPr>
          <w:p w14:paraId="2E64CF60">
            <w:pPr>
              <w:pStyle w:val="17"/>
              <w:bidi w:val="0"/>
              <w:rPr>
                <w:rFonts w:hint="default"/>
              </w:rPr>
            </w:pPr>
            <w:r>
              <w:rPr>
                <w:rFonts w:hint="default"/>
              </w:rPr>
              <w:t>-</w:t>
            </w:r>
          </w:p>
        </w:tc>
        <w:tc>
          <w:tcPr>
            <w:tcW w:w="356" w:type="pct"/>
            <w:noWrap w:val="0"/>
            <w:vAlign w:val="center"/>
          </w:tcPr>
          <w:p w14:paraId="41C30C85">
            <w:pPr>
              <w:pStyle w:val="17"/>
              <w:bidi w:val="0"/>
              <w:rPr>
                <w:rFonts w:hint="default"/>
              </w:rPr>
            </w:pPr>
            <w:r>
              <w:rPr>
                <w:rFonts w:hint="default"/>
              </w:rPr>
              <w:t>劣Ⅴ</w:t>
            </w:r>
          </w:p>
        </w:tc>
        <w:tc>
          <w:tcPr>
            <w:tcW w:w="309" w:type="pct"/>
            <w:noWrap w:val="0"/>
            <w:vAlign w:val="center"/>
          </w:tcPr>
          <w:p w14:paraId="630BC93F">
            <w:pPr>
              <w:pStyle w:val="17"/>
              <w:bidi w:val="0"/>
              <w:rPr>
                <w:rFonts w:hint="default"/>
              </w:rPr>
            </w:pPr>
            <w:r>
              <w:rPr>
                <w:rFonts w:hint="default"/>
              </w:rPr>
              <w:t>劣Ⅴ</w:t>
            </w:r>
          </w:p>
        </w:tc>
        <w:tc>
          <w:tcPr>
            <w:tcW w:w="289" w:type="pct"/>
            <w:noWrap w:val="0"/>
            <w:vAlign w:val="center"/>
          </w:tcPr>
          <w:p w14:paraId="7A6D39C3">
            <w:pPr>
              <w:pStyle w:val="17"/>
              <w:bidi w:val="0"/>
              <w:rPr>
                <w:rFonts w:hint="default"/>
              </w:rPr>
            </w:pPr>
            <w:r>
              <w:rPr>
                <w:rFonts w:hint="default"/>
              </w:rPr>
              <w:t>Ⅱ</w:t>
            </w:r>
          </w:p>
        </w:tc>
        <w:tc>
          <w:tcPr>
            <w:tcW w:w="299" w:type="pct"/>
            <w:noWrap w:val="0"/>
            <w:vAlign w:val="center"/>
          </w:tcPr>
          <w:p w14:paraId="34891238">
            <w:pPr>
              <w:pStyle w:val="17"/>
              <w:bidi w:val="0"/>
              <w:rPr>
                <w:rFonts w:hint="default"/>
              </w:rPr>
            </w:pPr>
            <w:r>
              <w:rPr>
                <w:rFonts w:hint="default"/>
              </w:rPr>
              <w:t>Ⅲ</w:t>
            </w:r>
          </w:p>
        </w:tc>
        <w:tc>
          <w:tcPr>
            <w:tcW w:w="299" w:type="pct"/>
            <w:noWrap w:val="0"/>
            <w:vAlign w:val="center"/>
          </w:tcPr>
          <w:p w14:paraId="69BC88AF">
            <w:pPr>
              <w:pStyle w:val="17"/>
              <w:bidi w:val="0"/>
              <w:rPr>
                <w:rFonts w:hint="default"/>
              </w:rPr>
            </w:pPr>
            <w:r>
              <w:rPr>
                <w:rFonts w:hint="default"/>
              </w:rPr>
              <w:t>Ⅲ</w:t>
            </w:r>
          </w:p>
        </w:tc>
        <w:tc>
          <w:tcPr>
            <w:tcW w:w="299" w:type="pct"/>
            <w:noWrap w:val="0"/>
            <w:vAlign w:val="center"/>
          </w:tcPr>
          <w:p w14:paraId="246AAC33">
            <w:pPr>
              <w:pStyle w:val="17"/>
              <w:bidi w:val="0"/>
              <w:rPr>
                <w:rFonts w:hint="default"/>
              </w:rPr>
            </w:pPr>
            <w:r>
              <w:rPr>
                <w:rFonts w:hint="default"/>
              </w:rPr>
              <w:t>Ⅲ</w:t>
            </w:r>
          </w:p>
        </w:tc>
        <w:tc>
          <w:tcPr>
            <w:tcW w:w="299" w:type="pct"/>
            <w:noWrap w:val="0"/>
            <w:vAlign w:val="center"/>
          </w:tcPr>
          <w:p w14:paraId="0D4D770C">
            <w:pPr>
              <w:pStyle w:val="17"/>
              <w:bidi w:val="0"/>
              <w:rPr>
                <w:rFonts w:hint="default"/>
              </w:rPr>
            </w:pPr>
            <w:r>
              <w:rPr>
                <w:rFonts w:hint="default"/>
              </w:rPr>
              <w:t>Ⅲ</w:t>
            </w:r>
          </w:p>
        </w:tc>
        <w:tc>
          <w:tcPr>
            <w:tcW w:w="299" w:type="pct"/>
            <w:noWrap w:val="0"/>
            <w:vAlign w:val="center"/>
          </w:tcPr>
          <w:p w14:paraId="1BDF6A2C">
            <w:pPr>
              <w:pStyle w:val="17"/>
              <w:bidi w:val="0"/>
              <w:rPr>
                <w:rFonts w:hint="default"/>
              </w:rPr>
            </w:pPr>
          </w:p>
        </w:tc>
        <w:tc>
          <w:tcPr>
            <w:tcW w:w="345" w:type="pct"/>
            <w:noWrap w:val="0"/>
            <w:vAlign w:val="center"/>
          </w:tcPr>
          <w:p w14:paraId="3F41B150">
            <w:pPr>
              <w:pStyle w:val="17"/>
              <w:bidi w:val="0"/>
              <w:rPr>
                <w:rFonts w:hint="default"/>
              </w:rPr>
            </w:pPr>
          </w:p>
        </w:tc>
        <w:tc>
          <w:tcPr>
            <w:tcW w:w="341" w:type="pct"/>
            <w:noWrap w:val="0"/>
            <w:vAlign w:val="center"/>
          </w:tcPr>
          <w:p w14:paraId="398EDE8A">
            <w:pPr>
              <w:pStyle w:val="17"/>
              <w:bidi w:val="0"/>
              <w:rPr>
                <w:rFonts w:hint="default"/>
              </w:rPr>
            </w:pPr>
          </w:p>
        </w:tc>
        <w:tc>
          <w:tcPr>
            <w:tcW w:w="345" w:type="pct"/>
            <w:noWrap w:val="0"/>
            <w:vAlign w:val="center"/>
          </w:tcPr>
          <w:p w14:paraId="2E3DE34F">
            <w:pPr>
              <w:pStyle w:val="17"/>
              <w:bidi w:val="0"/>
              <w:rPr>
                <w:rFonts w:hint="default"/>
              </w:rPr>
            </w:pPr>
          </w:p>
        </w:tc>
        <w:tc>
          <w:tcPr>
            <w:tcW w:w="411" w:type="pct"/>
            <w:noWrap w:val="0"/>
            <w:vAlign w:val="center"/>
          </w:tcPr>
          <w:p w14:paraId="482B83F7">
            <w:pPr>
              <w:pStyle w:val="17"/>
              <w:bidi w:val="0"/>
              <w:rPr>
                <w:rFonts w:hint="default"/>
              </w:rPr>
            </w:pPr>
            <w:r>
              <w:rPr>
                <w:rFonts w:hint="default"/>
              </w:rPr>
              <w:t>劣Ⅴ</w:t>
            </w:r>
          </w:p>
        </w:tc>
      </w:tr>
    </w:tbl>
    <w:p w14:paraId="2CE03344">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p>
    <w:p w14:paraId="32348E7C">
      <w:pPr>
        <w:bidi w:val="0"/>
        <w:rPr>
          <w:rFonts w:hint="default"/>
        </w:rPr>
      </w:pPr>
      <w:r>
        <w:rPr>
          <w:rFonts w:hint="default"/>
        </w:rPr>
        <w:t>②河流浑浊，泥沙含量较高</w:t>
      </w:r>
    </w:p>
    <w:p w14:paraId="6B1D03E1">
      <w:pPr>
        <w:bidi w:val="0"/>
        <w:rPr>
          <w:rFonts w:hint="default"/>
        </w:rPr>
      </w:pPr>
      <w:r>
        <w:rPr>
          <w:rFonts w:hint="default"/>
        </w:rPr>
        <w:t>西村汇水范围内浑江流域河流浑浊，泥沙含量较高。矿山及取土场生态尚未恢复，会加剧水土流失，对水生态带来风险。</w:t>
      </w:r>
    </w:p>
    <w:p w14:paraId="6CD93F1E">
      <w:pPr>
        <w:bidi w:val="0"/>
        <w:rPr>
          <w:rFonts w:hint="default"/>
        </w:rPr>
      </w:pPr>
      <w:r>
        <w:rPr>
          <w:rFonts w:hint="default"/>
        </w:rPr>
        <w:t>③存在重金属尾矿风险</w:t>
      </w:r>
    </w:p>
    <w:p w14:paraId="1BCAB355">
      <w:pPr>
        <w:bidi w:val="0"/>
        <w:rPr>
          <w:rFonts w:hint="default"/>
        </w:rPr>
      </w:pPr>
      <w:r>
        <w:rPr>
          <w:rFonts w:hint="default"/>
        </w:rPr>
        <w:t>西村汇水范围内存在多个尾矿库，存在重金属尾矿风险。</w:t>
      </w:r>
    </w:p>
    <w:p w14:paraId="69ACBE6F">
      <w:pPr>
        <w:pStyle w:val="5"/>
        <w:bidi w:val="0"/>
        <w:rPr>
          <w:rFonts w:hint="default"/>
        </w:rPr>
      </w:pPr>
      <w:r>
        <w:rPr>
          <w:rFonts w:hint="default"/>
        </w:rPr>
        <w:t>成因</w:t>
      </w:r>
    </w:p>
    <w:p w14:paraId="07F10C49">
      <w:pPr>
        <w:bidi w:val="0"/>
        <w:rPr>
          <w:rFonts w:hint="default"/>
        </w:rPr>
      </w:pPr>
      <w:r>
        <w:rPr>
          <w:rFonts w:hint="default"/>
        </w:rPr>
        <w:t>①雨污分流管网建设不到位；存在管网漏失情况；城镇污水处理厂进水浓度低，影响污染物去除效果</w:t>
      </w:r>
    </w:p>
    <w:p w14:paraId="15D02F3A">
      <w:pPr>
        <w:bidi w:val="0"/>
        <w:rPr>
          <w:rFonts w:hint="default"/>
        </w:rPr>
      </w:pPr>
      <w:r>
        <w:rPr>
          <w:rFonts w:hint="default"/>
        </w:rPr>
        <w:t>部分管网出现渗漏，雨水、地下水、河水渗入排水管道，存在雨污混排现象，导致城镇污水处理厂进水浓度过低，处理能力不足，影响污染物去除效果，污水处理厂长期超负荷运行。乡镇污水处理基础设施建设不完善，部分乡镇污水处理设施尚未建完。</w:t>
      </w:r>
    </w:p>
    <w:p w14:paraId="384D8ED2">
      <w:pPr>
        <w:bidi w:val="0"/>
        <w:rPr>
          <w:rFonts w:hint="default"/>
        </w:rPr>
      </w:pPr>
      <w:r>
        <w:rPr>
          <w:rFonts w:hint="default"/>
        </w:rPr>
        <w:fldChar w:fldCharType="begin"/>
      </w:r>
      <w:r>
        <w:rPr>
          <w:rFonts w:hint="default"/>
        </w:rPr>
        <w:instrText xml:space="preserve"> = 2 \* GB3 </w:instrText>
      </w:r>
      <w:r>
        <w:rPr>
          <w:rFonts w:hint="default"/>
        </w:rPr>
        <w:fldChar w:fldCharType="separate"/>
      </w:r>
      <w:r>
        <w:rPr>
          <w:rFonts w:hint="default"/>
        </w:rPr>
        <w:t>②</w:t>
      </w:r>
      <w:r>
        <w:rPr>
          <w:rFonts w:hint="default"/>
        </w:rPr>
        <w:fldChar w:fldCharType="end"/>
      </w:r>
      <w:r>
        <w:rPr>
          <w:rFonts w:hint="default"/>
        </w:rPr>
        <w:t>村级河长制落实不到位，农村河流污染严重</w:t>
      </w:r>
    </w:p>
    <w:p w14:paraId="4232F377">
      <w:pPr>
        <w:bidi w:val="0"/>
        <w:rPr>
          <w:rFonts w:hint="default"/>
        </w:rPr>
      </w:pPr>
      <w:r>
        <w:rPr>
          <w:rFonts w:hint="default"/>
        </w:rPr>
        <w:t>村级河长制落实不到位，部分群众对河道环境保护的主观意识不强，周边居民长期形成的乱扔垃圾、乱倒污水等习惯难以改变，西村汇水范围内部分农村河流存在农业农村生活源污染，河流汇入浑江，影响西村断面水质。</w:t>
      </w:r>
    </w:p>
    <w:p w14:paraId="3FB59DAD">
      <w:pPr>
        <w:bidi w:val="0"/>
        <w:rPr>
          <w:rFonts w:hint="default"/>
        </w:rPr>
      </w:pPr>
      <w:r>
        <w:rPr>
          <w:rFonts w:hint="default"/>
        </w:rPr>
        <w:t>③农业面源污染影响西村断面水质</w:t>
      </w:r>
    </w:p>
    <w:p w14:paraId="7A29C8D1">
      <w:pPr>
        <w:bidi w:val="0"/>
        <w:rPr>
          <w:rFonts w:hint="default"/>
        </w:rPr>
      </w:pPr>
      <w:r>
        <w:rPr>
          <w:rFonts w:hint="default"/>
        </w:rPr>
        <w:t>浑江干流及支流沿岸分布较多农田，种植经济作物存在农药化肥施用情况，且浑江流域水土流失严重，雨水冲刷导致耕地土壤随雨水入河，存在农药化肥施用等农业面源污染风险。</w:t>
      </w:r>
    </w:p>
    <w:p w14:paraId="063C32A9">
      <w:pPr>
        <w:bidi w:val="0"/>
        <w:rPr>
          <w:rFonts w:hint="default"/>
        </w:rPr>
      </w:pPr>
      <w:r>
        <w:rPr>
          <w:rFonts w:hint="default"/>
        </w:rPr>
        <w:t>④西村汇水范围内有20家尾矿库，其中16家尾矿库下游1公里冲击范围内有村庄和河流湖库</w:t>
      </w:r>
    </w:p>
    <w:p w14:paraId="7E0F7CA9">
      <w:pPr>
        <w:bidi w:val="0"/>
        <w:rPr>
          <w:rFonts w:hint="default"/>
        </w:rPr>
      </w:pPr>
      <w:r>
        <w:rPr>
          <w:rFonts w:hint="default"/>
        </w:rPr>
        <w:t>西村汇水范围内统计有20家尾矿库，其中16家尾矿库下游1公里冲击范围内有村庄、河流湖库，其中包括有铁矿、锌矿、金矿及选矿尾矿等种类。16家尾矿库均属于正常库，但部分尾矿库仍未进行建立三级防控体系，未按要求开展尾矿库环境应急演练，没有应急防控等措施，存在一定的累积性风险。尾矿库中涉及江源区的有6家，详见下表3-1</w:t>
      </w:r>
      <w:r>
        <w:rPr>
          <w:rFonts w:hint="default"/>
          <w:lang w:val="en-US" w:eastAsia="zh-CN"/>
        </w:rPr>
        <w:t>8</w:t>
      </w:r>
      <w:r>
        <w:rPr>
          <w:rFonts w:hint="default"/>
        </w:rPr>
        <w:t>。</w:t>
      </w:r>
    </w:p>
    <w:p w14:paraId="47766493">
      <w:pPr>
        <w:bidi w:val="0"/>
        <w:rPr>
          <w:rFonts w:hint="default"/>
        </w:rPr>
      </w:pPr>
      <w:r>
        <w:rPr>
          <w:rFonts w:hint="default"/>
        </w:rPr>
        <w:t>⑤流域内存在村屯及耕地，农业农村面源污染对河流水质会带来一定影响</w:t>
      </w:r>
    </w:p>
    <w:p w14:paraId="669C1503">
      <w:pPr>
        <w:bidi w:val="0"/>
        <w:rPr>
          <w:rFonts w:hint="default"/>
        </w:rPr>
      </w:pPr>
      <w:r>
        <w:rPr>
          <w:rFonts w:hint="default"/>
        </w:rPr>
        <w:t>江源区有建制村41个，其中有25个建制村位于浑江流域，江源区农村污水特点是点多、面广、规模小，区域丘陵、山地地形居多，村庄分散，集中统一收集污水的成本和难度较高。农村污水随季节水质、水量急剧变化。目前部分农村人口的生活污水进入卫生厕所收集后还田，部分农村人口的生活污水未经处理通过明沟和地表径流排放至附近地表水体，影响环境。</w:t>
      </w:r>
    </w:p>
    <w:p w14:paraId="6D2710A0">
      <w:pPr>
        <w:bidi w:val="0"/>
        <w:rPr>
          <w:rFonts w:hint="default"/>
        </w:rPr>
      </w:pPr>
      <w:r>
        <w:rPr>
          <w:rFonts w:hint="default"/>
        </w:rPr>
        <w:t>目前，沿浑江及其支流村镇周围存在一定量耕地，农药化肥施用，存在农业面源污染。</w:t>
      </w:r>
    </w:p>
    <w:p w14:paraId="17D1721C">
      <w:pPr>
        <w:bidi w:val="0"/>
        <w:rPr>
          <w:rFonts w:hint="default"/>
        </w:rPr>
      </w:pPr>
      <w:r>
        <w:rPr>
          <w:rFonts w:hint="default"/>
        </w:rPr>
        <w:t>⑥矿山生态尚未恢复，会加剧水土流失，对水生态带来风险。</w:t>
      </w:r>
    </w:p>
    <w:p w14:paraId="37F4D536">
      <w:pPr>
        <w:bidi w:val="0"/>
        <w:rPr>
          <w:rFonts w:hint="default"/>
        </w:rPr>
        <w:sectPr>
          <w:pgSz w:w="11906" w:h="16838"/>
          <w:pgMar w:top="1440" w:right="1800" w:bottom="1440" w:left="1800" w:header="851" w:footer="992" w:gutter="0"/>
          <w:pgNumType w:fmt="numberInDash"/>
          <w:cols w:space="0" w:num="1"/>
          <w:rtlGutter w:val="0"/>
          <w:docGrid w:type="lines" w:linePitch="332" w:charSpace="0"/>
        </w:sectPr>
      </w:pPr>
    </w:p>
    <w:p w14:paraId="0BA2E913">
      <w:pPr>
        <w:pStyle w:val="16"/>
        <w:bidi w:val="0"/>
        <w:rPr>
          <w:rFonts w:hint="default"/>
        </w:rPr>
      </w:pPr>
      <w:r>
        <w:rPr>
          <w:rFonts w:hint="default"/>
        </w:rPr>
        <w:t>表</w:t>
      </w:r>
      <w:r>
        <w:rPr>
          <w:rFonts w:hint="eastAsia"/>
          <w:lang w:val="en-US" w:eastAsia="zh-CN"/>
        </w:rPr>
        <w:t>1-20</w:t>
      </w:r>
      <w:r>
        <w:rPr>
          <w:rFonts w:hint="default"/>
        </w:rPr>
        <w:t>西村汇水范围内江源区尾矿库情况表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53"/>
        <w:gridCol w:w="1179"/>
        <w:gridCol w:w="432"/>
        <w:gridCol w:w="1097"/>
        <w:gridCol w:w="1260"/>
        <w:gridCol w:w="679"/>
        <w:gridCol w:w="1180"/>
        <w:gridCol w:w="638"/>
      </w:tblGrid>
      <w:tr w14:paraId="126C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46" w:hRule="atLeast"/>
          <w:tblHeader/>
        </w:trPr>
        <w:tc>
          <w:tcPr>
            <w:tcW w:w="1115" w:type="pct"/>
            <w:noWrap w:val="0"/>
            <w:tcMar>
              <w:top w:w="6" w:type="dxa"/>
              <w:left w:w="6" w:type="dxa"/>
              <w:bottom w:w="0" w:type="dxa"/>
              <w:right w:w="6" w:type="dxa"/>
            </w:tcMar>
            <w:vAlign w:val="center"/>
          </w:tcPr>
          <w:p w14:paraId="0C59AA34">
            <w:pPr>
              <w:pStyle w:val="17"/>
              <w:bidi w:val="0"/>
              <w:rPr>
                <w:rFonts w:hint="default"/>
              </w:rPr>
            </w:pPr>
            <w:r>
              <w:rPr>
                <w:rFonts w:hint="default"/>
              </w:rPr>
              <w:t>企业名称</w:t>
            </w:r>
          </w:p>
        </w:tc>
        <w:tc>
          <w:tcPr>
            <w:tcW w:w="710" w:type="pct"/>
            <w:noWrap w:val="0"/>
            <w:tcMar>
              <w:top w:w="6" w:type="dxa"/>
              <w:left w:w="6" w:type="dxa"/>
              <w:bottom w:w="0" w:type="dxa"/>
              <w:right w:w="6" w:type="dxa"/>
            </w:tcMar>
            <w:vAlign w:val="center"/>
          </w:tcPr>
          <w:p w14:paraId="4FA95A3A">
            <w:pPr>
              <w:pStyle w:val="17"/>
              <w:bidi w:val="0"/>
              <w:rPr>
                <w:rFonts w:hint="default"/>
              </w:rPr>
            </w:pPr>
            <w:r>
              <w:rPr>
                <w:rFonts w:hint="default"/>
              </w:rPr>
              <w:t>尾矿库址所在地</w:t>
            </w:r>
          </w:p>
          <w:p w14:paraId="1DC2C7A9">
            <w:pPr>
              <w:pStyle w:val="17"/>
              <w:bidi w:val="0"/>
              <w:rPr>
                <w:rFonts w:hint="default"/>
              </w:rPr>
            </w:pPr>
            <w:r>
              <w:rPr>
                <w:rFonts w:hint="default"/>
              </w:rPr>
              <w:t>（乡、村）</w:t>
            </w:r>
          </w:p>
        </w:tc>
        <w:tc>
          <w:tcPr>
            <w:tcW w:w="254" w:type="pct"/>
            <w:noWrap w:val="0"/>
            <w:tcMar>
              <w:top w:w="6" w:type="dxa"/>
              <w:left w:w="6" w:type="dxa"/>
              <w:bottom w:w="0" w:type="dxa"/>
              <w:right w:w="6" w:type="dxa"/>
            </w:tcMar>
            <w:vAlign w:val="center"/>
          </w:tcPr>
          <w:p w14:paraId="67ABE97E">
            <w:pPr>
              <w:pStyle w:val="17"/>
              <w:bidi w:val="0"/>
              <w:rPr>
                <w:rFonts w:hint="default"/>
              </w:rPr>
            </w:pPr>
            <w:r>
              <w:rPr>
                <w:rFonts w:hint="default"/>
              </w:rPr>
              <w:t>尾矿种类</w:t>
            </w:r>
          </w:p>
        </w:tc>
        <w:tc>
          <w:tcPr>
            <w:tcW w:w="660" w:type="pct"/>
            <w:noWrap w:val="0"/>
            <w:tcMar>
              <w:top w:w="6" w:type="dxa"/>
              <w:left w:w="6" w:type="dxa"/>
              <w:bottom w:w="0" w:type="dxa"/>
              <w:right w:w="6" w:type="dxa"/>
            </w:tcMar>
            <w:vAlign w:val="center"/>
          </w:tcPr>
          <w:p w14:paraId="12082F80">
            <w:pPr>
              <w:pStyle w:val="17"/>
              <w:bidi w:val="0"/>
              <w:rPr>
                <w:rFonts w:hint="default"/>
              </w:rPr>
            </w:pPr>
            <w:r>
              <w:rPr>
                <w:rFonts w:hint="default"/>
              </w:rPr>
              <w:t>尾矿特征污染物</w:t>
            </w:r>
          </w:p>
          <w:p w14:paraId="5B6340D6">
            <w:pPr>
              <w:pStyle w:val="17"/>
              <w:bidi w:val="0"/>
              <w:rPr>
                <w:rFonts w:hint="default"/>
              </w:rPr>
            </w:pPr>
            <w:r>
              <w:rPr>
                <w:rFonts w:hint="default"/>
              </w:rPr>
              <w:t>及毒性</w:t>
            </w:r>
          </w:p>
        </w:tc>
        <w:tc>
          <w:tcPr>
            <w:tcW w:w="758" w:type="pct"/>
            <w:noWrap w:val="0"/>
            <w:tcMar>
              <w:top w:w="6" w:type="dxa"/>
              <w:left w:w="6" w:type="dxa"/>
              <w:bottom w:w="0" w:type="dxa"/>
              <w:right w:w="6" w:type="dxa"/>
            </w:tcMar>
            <w:vAlign w:val="center"/>
          </w:tcPr>
          <w:p w14:paraId="3FB4C3AD">
            <w:pPr>
              <w:pStyle w:val="17"/>
              <w:bidi w:val="0"/>
              <w:rPr>
                <w:rFonts w:hint="default"/>
              </w:rPr>
            </w:pPr>
            <w:r>
              <w:rPr>
                <w:rFonts w:hint="default"/>
              </w:rPr>
              <w:t>环评审批部门</w:t>
            </w:r>
          </w:p>
          <w:p w14:paraId="064CC8BD">
            <w:pPr>
              <w:pStyle w:val="17"/>
              <w:bidi w:val="0"/>
              <w:rPr>
                <w:rFonts w:hint="default"/>
              </w:rPr>
            </w:pPr>
            <w:r>
              <w:rPr>
                <w:rFonts w:hint="default"/>
              </w:rPr>
              <w:t>及审批时间</w:t>
            </w:r>
          </w:p>
        </w:tc>
        <w:tc>
          <w:tcPr>
            <w:tcW w:w="409" w:type="pct"/>
            <w:noWrap w:val="0"/>
            <w:tcMar>
              <w:top w:w="6" w:type="dxa"/>
              <w:left w:w="6" w:type="dxa"/>
              <w:bottom w:w="0" w:type="dxa"/>
              <w:right w:w="6" w:type="dxa"/>
            </w:tcMar>
            <w:vAlign w:val="center"/>
          </w:tcPr>
          <w:p w14:paraId="7B043381">
            <w:pPr>
              <w:pStyle w:val="17"/>
              <w:bidi w:val="0"/>
              <w:rPr>
                <w:rFonts w:hint="default"/>
              </w:rPr>
            </w:pPr>
            <w:r>
              <w:rPr>
                <w:rFonts w:hint="default"/>
              </w:rPr>
              <w:t>目前运行状况</w:t>
            </w:r>
          </w:p>
        </w:tc>
        <w:tc>
          <w:tcPr>
            <w:tcW w:w="710" w:type="pct"/>
            <w:noWrap w:val="0"/>
            <w:tcMar>
              <w:top w:w="6" w:type="dxa"/>
              <w:left w:w="6" w:type="dxa"/>
              <w:bottom w:w="0" w:type="dxa"/>
              <w:right w:w="6" w:type="dxa"/>
            </w:tcMar>
            <w:vAlign w:val="center"/>
          </w:tcPr>
          <w:p w14:paraId="07BB1858">
            <w:pPr>
              <w:pStyle w:val="17"/>
              <w:bidi w:val="0"/>
              <w:rPr>
                <w:rFonts w:hint="default"/>
              </w:rPr>
            </w:pPr>
            <w:r>
              <w:rPr>
                <w:rFonts w:hint="default"/>
              </w:rPr>
              <w:t>尾矿库下游1公里冲击范围内有无村庄、河流湖库</w:t>
            </w:r>
          </w:p>
        </w:tc>
        <w:tc>
          <w:tcPr>
            <w:tcW w:w="384" w:type="pct"/>
            <w:noWrap w:val="0"/>
            <w:tcMar>
              <w:top w:w="6" w:type="dxa"/>
              <w:left w:w="6" w:type="dxa"/>
              <w:bottom w:w="0" w:type="dxa"/>
              <w:right w:w="6" w:type="dxa"/>
            </w:tcMar>
            <w:vAlign w:val="center"/>
          </w:tcPr>
          <w:p w14:paraId="5CEAD800">
            <w:pPr>
              <w:pStyle w:val="17"/>
              <w:bidi w:val="0"/>
              <w:rPr>
                <w:rFonts w:hint="default"/>
              </w:rPr>
            </w:pPr>
            <w:r>
              <w:rPr>
                <w:rFonts w:hint="default"/>
              </w:rPr>
              <w:t>尾矿库现状安全度</w:t>
            </w:r>
          </w:p>
        </w:tc>
      </w:tr>
      <w:tr w14:paraId="3B41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1115" w:type="pct"/>
            <w:noWrap w:val="0"/>
            <w:tcMar>
              <w:top w:w="6" w:type="dxa"/>
              <w:left w:w="6" w:type="dxa"/>
              <w:bottom w:w="0" w:type="dxa"/>
              <w:right w:w="6" w:type="dxa"/>
            </w:tcMar>
            <w:vAlign w:val="center"/>
          </w:tcPr>
          <w:p w14:paraId="29154735">
            <w:pPr>
              <w:pStyle w:val="17"/>
              <w:bidi w:val="0"/>
              <w:rPr>
                <w:rFonts w:hint="default"/>
              </w:rPr>
            </w:pPr>
            <w:r>
              <w:rPr>
                <w:rFonts w:hint="default"/>
              </w:rPr>
              <w:t>江源区通源铁矿石加工厂</w:t>
            </w:r>
          </w:p>
        </w:tc>
        <w:tc>
          <w:tcPr>
            <w:tcW w:w="710" w:type="pct"/>
            <w:noWrap w:val="0"/>
            <w:tcMar>
              <w:top w:w="6" w:type="dxa"/>
              <w:left w:w="6" w:type="dxa"/>
              <w:bottom w:w="0" w:type="dxa"/>
              <w:right w:w="6" w:type="dxa"/>
            </w:tcMar>
            <w:vAlign w:val="center"/>
          </w:tcPr>
          <w:p w14:paraId="2E666872">
            <w:pPr>
              <w:pStyle w:val="17"/>
              <w:bidi w:val="0"/>
              <w:rPr>
                <w:rFonts w:hint="default"/>
              </w:rPr>
            </w:pPr>
            <w:r>
              <w:rPr>
                <w:rFonts w:hint="default"/>
              </w:rPr>
              <w:t>石人镇小河口村</w:t>
            </w:r>
          </w:p>
        </w:tc>
        <w:tc>
          <w:tcPr>
            <w:tcW w:w="254" w:type="pct"/>
            <w:noWrap w:val="0"/>
            <w:tcMar>
              <w:top w:w="6" w:type="dxa"/>
              <w:left w:w="6" w:type="dxa"/>
              <w:bottom w:w="0" w:type="dxa"/>
              <w:right w:w="6" w:type="dxa"/>
            </w:tcMar>
            <w:vAlign w:val="center"/>
          </w:tcPr>
          <w:p w14:paraId="7D296FFD">
            <w:pPr>
              <w:pStyle w:val="17"/>
              <w:bidi w:val="0"/>
              <w:rPr>
                <w:rFonts w:hint="default"/>
              </w:rPr>
            </w:pPr>
            <w:r>
              <w:rPr>
                <w:rFonts w:hint="default"/>
              </w:rPr>
              <w:t>铁矿</w:t>
            </w:r>
          </w:p>
        </w:tc>
        <w:tc>
          <w:tcPr>
            <w:tcW w:w="660" w:type="pct"/>
            <w:noWrap w:val="0"/>
            <w:tcMar>
              <w:top w:w="6" w:type="dxa"/>
              <w:left w:w="6" w:type="dxa"/>
              <w:bottom w:w="0" w:type="dxa"/>
              <w:right w:w="6" w:type="dxa"/>
            </w:tcMar>
            <w:vAlign w:val="center"/>
          </w:tcPr>
          <w:p w14:paraId="40BA65F0">
            <w:pPr>
              <w:pStyle w:val="17"/>
              <w:bidi w:val="0"/>
              <w:rPr>
                <w:rFonts w:hint="default"/>
              </w:rPr>
            </w:pPr>
            <w:r>
              <w:rPr>
                <w:rFonts w:hint="default"/>
              </w:rPr>
              <w:t>悬浮物</w:t>
            </w:r>
          </w:p>
        </w:tc>
        <w:tc>
          <w:tcPr>
            <w:tcW w:w="758" w:type="pct"/>
            <w:noWrap w:val="0"/>
            <w:tcMar>
              <w:top w:w="6" w:type="dxa"/>
              <w:left w:w="6" w:type="dxa"/>
              <w:bottom w:w="0" w:type="dxa"/>
              <w:right w:w="6" w:type="dxa"/>
            </w:tcMar>
            <w:vAlign w:val="center"/>
          </w:tcPr>
          <w:p w14:paraId="0DD9D3AE">
            <w:pPr>
              <w:pStyle w:val="17"/>
              <w:bidi w:val="0"/>
              <w:rPr>
                <w:rFonts w:hint="default"/>
              </w:rPr>
            </w:pPr>
            <w:r>
              <w:rPr>
                <w:rFonts w:hint="default"/>
              </w:rPr>
              <w:t>江源区环境保护局2011/7/15</w:t>
            </w:r>
          </w:p>
        </w:tc>
        <w:tc>
          <w:tcPr>
            <w:tcW w:w="409" w:type="pct"/>
            <w:noWrap w:val="0"/>
            <w:tcMar>
              <w:top w:w="6" w:type="dxa"/>
              <w:left w:w="6" w:type="dxa"/>
              <w:bottom w:w="0" w:type="dxa"/>
              <w:right w:w="6" w:type="dxa"/>
            </w:tcMar>
            <w:vAlign w:val="center"/>
          </w:tcPr>
          <w:p w14:paraId="112F0ADD">
            <w:pPr>
              <w:pStyle w:val="17"/>
              <w:bidi w:val="0"/>
              <w:rPr>
                <w:rFonts w:hint="default"/>
              </w:rPr>
            </w:pPr>
            <w:r>
              <w:rPr>
                <w:rFonts w:hint="default"/>
              </w:rPr>
              <w:t>停用</w:t>
            </w:r>
          </w:p>
        </w:tc>
        <w:tc>
          <w:tcPr>
            <w:tcW w:w="710" w:type="pct"/>
            <w:noWrap w:val="0"/>
            <w:tcMar>
              <w:top w:w="6" w:type="dxa"/>
              <w:left w:w="6" w:type="dxa"/>
              <w:bottom w:w="0" w:type="dxa"/>
              <w:right w:w="6" w:type="dxa"/>
            </w:tcMar>
            <w:vAlign w:val="center"/>
          </w:tcPr>
          <w:p w14:paraId="63D92EA3">
            <w:pPr>
              <w:pStyle w:val="17"/>
              <w:bidi w:val="0"/>
              <w:rPr>
                <w:rFonts w:hint="default"/>
              </w:rPr>
            </w:pPr>
            <w:r>
              <w:rPr>
                <w:rFonts w:hint="default"/>
              </w:rPr>
              <w:t>有</w:t>
            </w:r>
          </w:p>
        </w:tc>
        <w:tc>
          <w:tcPr>
            <w:tcW w:w="384" w:type="pct"/>
            <w:noWrap w:val="0"/>
            <w:tcMar>
              <w:top w:w="6" w:type="dxa"/>
              <w:left w:w="6" w:type="dxa"/>
              <w:bottom w:w="0" w:type="dxa"/>
              <w:right w:w="6" w:type="dxa"/>
            </w:tcMar>
            <w:vAlign w:val="center"/>
          </w:tcPr>
          <w:p w14:paraId="3199E5FA">
            <w:pPr>
              <w:pStyle w:val="17"/>
              <w:bidi w:val="0"/>
              <w:rPr>
                <w:rFonts w:hint="default"/>
              </w:rPr>
            </w:pPr>
            <w:r>
              <w:rPr>
                <w:rFonts w:hint="default"/>
              </w:rPr>
              <w:t>正常库</w:t>
            </w:r>
          </w:p>
        </w:tc>
      </w:tr>
      <w:tr w14:paraId="3B70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1115" w:type="pct"/>
            <w:noWrap w:val="0"/>
            <w:tcMar>
              <w:top w:w="6" w:type="dxa"/>
              <w:left w:w="6" w:type="dxa"/>
              <w:bottom w:w="0" w:type="dxa"/>
              <w:right w:w="6" w:type="dxa"/>
            </w:tcMar>
            <w:vAlign w:val="center"/>
          </w:tcPr>
          <w:p w14:paraId="6DCCFF45">
            <w:pPr>
              <w:pStyle w:val="17"/>
              <w:bidi w:val="0"/>
              <w:rPr>
                <w:rFonts w:hint="default"/>
              </w:rPr>
            </w:pPr>
            <w:r>
              <w:rPr>
                <w:rFonts w:hint="default"/>
              </w:rPr>
              <w:t>白山市江源区融兴矿渣再回收有限责任公司</w:t>
            </w:r>
          </w:p>
        </w:tc>
        <w:tc>
          <w:tcPr>
            <w:tcW w:w="710" w:type="pct"/>
            <w:noWrap w:val="0"/>
            <w:tcMar>
              <w:top w:w="6" w:type="dxa"/>
              <w:left w:w="6" w:type="dxa"/>
              <w:bottom w:w="0" w:type="dxa"/>
              <w:right w:w="6" w:type="dxa"/>
            </w:tcMar>
            <w:vAlign w:val="center"/>
          </w:tcPr>
          <w:p w14:paraId="040546FA">
            <w:pPr>
              <w:pStyle w:val="17"/>
              <w:bidi w:val="0"/>
              <w:rPr>
                <w:rFonts w:hint="default"/>
              </w:rPr>
            </w:pPr>
            <w:r>
              <w:rPr>
                <w:rFonts w:hint="default"/>
              </w:rPr>
              <w:t>石人镇林子头村</w:t>
            </w:r>
          </w:p>
        </w:tc>
        <w:tc>
          <w:tcPr>
            <w:tcW w:w="254" w:type="pct"/>
            <w:noWrap w:val="0"/>
            <w:tcMar>
              <w:top w:w="6" w:type="dxa"/>
              <w:left w:w="6" w:type="dxa"/>
              <w:bottom w:w="0" w:type="dxa"/>
              <w:right w:w="6" w:type="dxa"/>
            </w:tcMar>
            <w:vAlign w:val="center"/>
          </w:tcPr>
          <w:p w14:paraId="27546C7B">
            <w:pPr>
              <w:pStyle w:val="17"/>
              <w:bidi w:val="0"/>
              <w:rPr>
                <w:rFonts w:hint="default"/>
              </w:rPr>
            </w:pPr>
            <w:r>
              <w:rPr>
                <w:rFonts w:hint="default"/>
              </w:rPr>
              <w:t>锌矿、金矿</w:t>
            </w:r>
          </w:p>
        </w:tc>
        <w:tc>
          <w:tcPr>
            <w:tcW w:w="660" w:type="pct"/>
            <w:noWrap w:val="0"/>
            <w:tcMar>
              <w:top w:w="6" w:type="dxa"/>
              <w:left w:w="6" w:type="dxa"/>
              <w:bottom w:w="0" w:type="dxa"/>
              <w:right w:w="6" w:type="dxa"/>
            </w:tcMar>
            <w:vAlign w:val="center"/>
          </w:tcPr>
          <w:p w14:paraId="477F57F2">
            <w:pPr>
              <w:pStyle w:val="17"/>
              <w:bidi w:val="0"/>
              <w:rPr>
                <w:rFonts w:hint="default"/>
              </w:rPr>
            </w:pPr>
            <w:r>
              <w:rPr>
                <w:rFonts w:hint="default"/>
              </w:rPr>
              <w:t>悬浮物</w:t>
            </w:r>
          </w:p>
        </w:tc>
        <w:tc>
          <w:tcPr>
            <w:tcW w:w="758" w:type="pct"/>
            <w:noWrap w:val="0"/>
            <w:tcMar>
              <w:top w:w="6" w:type="dxa"/>
              <w:left w:w="6" w:type="dxa"/>
              <w:bottom w:w="0" w:type="dxa"/>
              <w:right w:w="6" w:type="dxa"/>
            </w:tcMar>
            <w:vAlign w:val="center"/>
          </w:tcPr>
          <w:p w14:paraId="36F10008">
            <w:pPr>
              <w:pStyle w:val="17"/>
              <w:bidi w:val="0"/>
              <w:rPr>
                <w:rFonts w:hint="default"/>
              </w:rPr>
            </w:pPr>
            <w:r>
              <w:rPr>
                <w:rFonts w:hint="default"/>
              </w:rPr>
              <w:t>江源区环境保护局2012/6/20</w:t>
            </w:r>
          </w:p>
        </w:tc>
        <w:tc>
          <w:tcPr>
            <w:tcW w:w="409" w:type="pct"/>
            <w:noWrap w:val="0"/>
            <w:tcMar>
              <w:top w:w="6" w:type="dxa"/>
              <w:left w:w="6" w:type="dxa"/>
              <w:bottom w:w="0" w:type="dxa"/>
              <w:right w:w="6" w:type="dxa"/>
            </w:tcMar>
            <w:vAlign w:val="center"/>
          </w:tcPr>
          <w:p w14:paraId="7B9523CB">
            <w:pPr>
              <w:pStyle w:val="17"/>
              <w:bidi w:val="0"/>
              <w:rPr>
                <w:rFonts w:hint="default"/>
              </w:rPr>
            </w:pPr>
            <w:r>
              <w:rPr>
                <w:rFonts w:hint="default"/>
              </w:rPr>
              <w:t>在用</w:t>
            </w:r>
          </w:p>
        </w:tc>
        <w:tc>
          <w:tcPr>
            <w:tcW w:w="710" w:type="pct"/>
            <w:noWrap w:val="0"/>
            <w:tcMar>
              <w:top w:w="6" w:type="dxa"/>
              <w:left w:w="6" w:type="dxa"/>
              <w:bottom w:w="0" w:type="dxa"/>
              <w:right w:w="6" w:type="dxa"/>
            </w:tcMar>
            <w:vAlign w:val="center"/>
          </w:tcPr>
          <w:p w14:paraId="7F0FD63A">
            <w:pPr>
              <w:pStyle w:val="17"/>
              <w:bidi w:val="0"/>
              <w:rPr>
                <w:rFonts w:hint="default"/>
              </w:rPr>
            </w:pPr>
            <w:r>
              <w:rPr>
                <w:rFonts w:hint="default"/>
              </w:rPr>
              <w:t>有</w:t>
            </w:r>
          </w:p>
        </w:tc>
        <w:tc>
          <w:tcPr>
            <w:tcW w:w="384" w:type="pct"/>
            <w:noWrap w:val="0"/>
            <w:tcMar>
              <w:top w:w="6" w:type="dxa"/>
              <w:left w:w="6" w:type="dxa"/>
              <w:bottom w:w="0" w:type="dxa"/>
              <w:right w:w="6" w:type="dxa"/>
            </w:tcMar>
            <w:vAlign w:val="center"/>
          </w:tcPr>
          <w:p w14:paraId="75BE25DC">
            <w:pPr>
              <w:pStyle w:val="17"/>
              <w:bidi w:val="0"/>
              <w:rPr>
                <w:rFonts w:hint="default"/>
              </w:rPr>
            </w:pPr>
            <w:r>
              <w:rPr>
                <w:rFonts w:hint="default"/>
              </w:rPr>
              <w:t>正常库</w:t>
            </w:r>
          </w:p>
        </w:tc>
      </w:tr>
      <w:tr w14:paraId="5FBC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1115" w:type="pct"/>
            <w:noWrap w:val="0"/>
            <w:tcMar>
              <w:top w:w="6" w:type="dxa"/>
              <w:left w:w="6" w:type="dxa"/>
              <w:bottom w:w="0" w:type="dxa"/>
              <w:right w:w="6" w:type="dxa"/>
            </w:tcMar>
            <w:vAlign w:val="center"/>
          </w:tcPr>
          <w:p w14:paraId="1BCB8BD5">
            <w:pPr>
              <w:pStyle w:val="17"/>
              <w:bidi w:val="0"/>
              <w:rPr>
                <w:rFonts w:hint="default"/>
              </w:rPr>
            </w:pPr>
            <w:r>
              <w:rPr>
                <w:rFonts w:hint="default"/>
              </w:rPr>
              <w:t>白山市江源区老岭宝鑫矿业有限责任公司</w:t>
            </w:r>
          </w:p>
        </w:tc>
        <w:tc>
          <w:tcPr>
            <w:tcW w:w="710" w:type="pct"/>
            <w:noWrap w:val="0"/>
            <w:tcMar>
              <w:top w:w="6" w:type="dxa"/>
              <w:left w:w="6" w:type="dxa"/>
              <w:bottom w:w="0" w:type="dxa"/>
              <w:right w:w="6" w:type="dxa"/>
            </w:tcMar>
            <w:vAlign w:val="center"/>
          </w:tcPr>
          <w:p w14:paraId="230255F9">
            <w:pPr>
              <w:pStyle w:val="17"/>
              <w:bidi w:val="0"/>
              <w:rPr>
                <w:rFonts w:hint="default"/>
              </w:rPr>
            </w:pPr>
            <w:r>
              <w:rPr>
                <w:rFonts w:hint="default"/>
              </w:rPr>
              <w:t>石人镇老岭村</w:t>
            </w:r>
          </w:p>
        </w:tc>
        <w:tc>
          <w:tcPr>
            <w:tcW w:w="254" w:type="pct"/>
            <w:noWrap w:val="0"/>
            <w:tcMar>
              <w:top w:w="6" w:type="dxa"/>
              <w:left w:w="6" w:type="dxa"/>
              <w:bottom w:w="0" w:type="dxa"/>
              <w:right w:w="6" w:type="dxa"/>
            </w:tcMar>
            <w:vAlign w:val="center"/>
          </w:tcPr>
          <w:p w14:paraId="08B47CC3">
            <w:pPr>
              <w:pStyle w:val="17"/>
              <w:bidi w:val="0"/>
              <w:rPr>
                <w:rFonts w:hint="default"/>
              </w:rPr>
            </w:pPr>
            <w:r>
              <w:rPr>
                <w:rFonts w:hint="default"/>
              </w:rPr>
              <w:t>铁矿</w:t>
            </w:r>
          </w:p>
        </w:tc>
        <w:tc>
          <w:tcPr>
            <w:tcW w:w="660" w:type="pct"/>
            <w:noWrap w:val="0"/>
            <w:tcMar>
              <w:top w:w="6" w:type="dxa"/>
              <w:left w:w="6" w:type="dxa"/>
              <w:bottom w:w="0" w:type="dxa"/>
              <w:right w:w="6" w:type="dxa"/>
            </w:tcMar>
            <w:vAlign w:val="center"/>
          </w:tcPr>
          <w:p w14:paraId="019FEC1D">
            <w:pPr>
              <w:pStyle w:val="17"/>
              <w:bidi w:val="0"/>
              <w:rPr>
                <w:rFonts w:hint="default"/>
              </w:rPr>
            </w:pPr>
            <w:r>
              <w:rPr>
                <w:rFonts w:hint="default"/>
              </w:rPr>
              <w:t>悬浮物</w:t>
            </w:r>
          </w:p>
        </w:tc>
        <w:tc>
          <w:tcPr>
            <w:tcW w:w="758" w:type="pct"/>
            <w:noWrap w:val="0"/>
            <w:tcMar>
              <w:top w:w="6" w:type="dxa"/>
              <w:left w:w="6" w:type="dxa"/>
              <w:bottom w:w="0" w:type="dxa"/>
              <w:right w:w="6" w:type="dxa"/>
            </w:tcMar>
            <w:vAlign w:val="center"/>
          </w:tcPr>
          <w:p w14:paraId="1C4F43B7">
            <w:pPr>
              <w:pStyle w:val="17"/>
              <w:bidi w:val="0"/>
              <w:rPr>
                <w:rFonts w:hint="default"/>
              </w:rPr>
            </w:pPr>
            <w:r>
              <w:rPr>
                <w:rFonts w:hint="default"/>
              </w:rPr>
              <w:t>江源区环境保护局2008/9/2</w:t>
            </w:r>
          </w:p>
        </w:tc>
        <w:tc>
          <w:tcPr>
            <w:tcW w:w="409" w:type="pct"/>
            <w:noWrap w:val="0"/>
            <w:tcMar>
              <w:top w:w="6" w:type="dxa"/>
              <w:left w:w="6" w:type="dxa"/>
              <w:bottom w:w="0" w:type="dxa"/>
              <w:right w:w="6" w:type="dxa"/>
            </w:tcMar>
            <w:vAlign w:val="center"/>
          </w:tcPr>
          <w:p w14:paraId="1602F467">
            <w:pPr>
              <w:pStyle w:val="17"/>
              <w:bidi w:val="0"/>
              <w:rPr>
                <w:rFonts w:hint="default"/>
              </w:rPr>
            </w:pPr>
            <w:r>
              <w:rPr>
                <w:rFonts w:hint="default"/>
              </w:rPr>
              <w:t>停用</w:t>
            </w:r>
          </w:p>
        </w:tc>
        <w:tc>
          <w:tcPr>
            <w:tcW w:w="710" w:type="pct"/>
            <w:noWrap w:val="0"/>
            <w:tcMar>
              <w:top w:w="6" w:type="dxa"/>
              <w:left w:w="6" w:type="dxa"/>
              <w:bottom w:w="0" w:type="dxa"/>
              <w:right w:w="6" w:type="dxa"/>
            </w:tcMar>
            <w:vAlign w:val="center"/>
          </w:tcPr>
          <w:p w14:paraId="17AA1091">
            <w:pPr>
              <w:pStyle w:val="17"/>
              <w:bidi w:val="0"/>
              <w:rPr>
                <w:rFonts w:hint="default"/>
              </w:rPr>
            </w:pPr>
            <w:r>
              <w:rPr>
                <w:rFonts w:hint="default"/>
              </w:rPr>
              <w:t>有</w:t>
            </w:r>
          </w:p>
        </w:tc>
        <w:tc>
          <w:tcPr>
            <w:tcW w:w="384" w:type="pct"/>
            <w:noWrap w:val="0"/>
            <w:tcMar>
              <w:top w:w="6" w:type="dxa"/>
              <w:left w:w="6" w:type="dxa"/>
              <w:bottom w:w="0" w:type="dxa"/>
              <w:right w:w="6" w:type="dxa"/>
            </w:tcMar>
            <w:vAlign w:val="center"/>
          </w:tcPr>
          <w:p w14:paraId="4F29FAD5">
            <w:pPr>
              <w:pStyle w:val="17"/>
              <w:bidi w:val="0"/>
              <w:rPr>
                <w:rFonts w:hint="default"/>
              </w:rPr>
            </w:pPr>
            <w:r>
              <w:rPr>
                <w:rFonts w:hint="default"/>
              </w:rPr>
              <w:t>正常库</w:t>
            </w:r>
          </w:p>
        </w:tc>
      </w:tr>
      <w:tr w14:paraId="71974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1115" w:type="pct"/>
            <w:noWrap w:val="0"/>
            <w:tcMar>
              <w:top w:w="6" w:type="dxa"/>
              <w:left w:w="6" w:type="dxa"/>
              <w:bottom w:w="0" w:type="dxa"/>
              <w:right w:w="6" w:type="dxa"/>
            </w:tcMar>
            <w:vAlign w:val="center"/>
          </w:tcPr>
          <w:p w14:paraId="3A541157">
            <w:pPr>
              <w:pStyle w:val="17"/>
              <w:bidi w:val="0"/>
              <w:rPr>
                <w:rFonts w:hint="default"/>
              </w:rPr>
            </w:pPr>
            <w:r>
              <w:rPr>
                <w:rFonts w:hint="default"/>
              </w:rPr>
              <w:t>吉林江源鑫和黄金矿业有限责任公司</w:t>
            </w:r>
          </w:p>
        </w:tc>
        <w:tc>
          <w:tcPr>
            <w:tcW w:w="710" w:type="pct"/>
            <w:noWrap w:val="0"/>
            <w:tcMar>
              <w:top w:w="6" w:type="dxa"/>
              <w:left w:w="6" w:type="dxa"/>
              <w:bottom w:w="0" w:type="dxa"/>
              <w:right w:w="6" w:type="dxa"/>
            </w:tcMar>
            <w:vAlign w:val="center"/>
          </w:tcPr>
          <w:p w14:paraId="1CDDCDCD">
            <w:pPr>
              <w:pStyle w:val="17"/>
              <w:bidi w:val="0"/>
              <w:rPr>
                <w:rFonts w:hint="default"/>
              </w:rPr>
            </w:pPr>
            <w:r>
              <w:rPr>
                <w:rFonts w:hint="default"/>
              </w:rPr>
              <w:t>石人镇林子头村</w:t>
            </w:r>
          </w:p>
        </w:tc>
        <w:tc>
          <w:tcPr>
            <w:tcW w:w="254" w:type="pct"/>
            <w:noWrap w:val="0"/>
            <w:tcMar>
              <w:top w:w="6" w:type="dxa"/>
              <w:left w:w="6" w:type="dxa"/>
              <w:bottom w:w="0" w:type="dxa"/>
              <w:right w:w="6" w:type="dxa"/>
            </w:tcMar>
            <w:vAlign w:val="center"/>
          </w:tcPr>
          <w:p w14:paraId="42F4A1E0">
            <w:pPr>
              <w:pStyle w:val="17"/>
              <w:bidi w:val="0"/>
              <w:rPr>
                <w:rFonts w:hint="default"/>
              </w:rPr>
            </w:pPr>
            <w:r>
              <w:rPr>
                <w:rFonts w:hint="default"/>
              </w:rPr>
              <w:t>金矿</w:t>
            </w:r>
          </w:p>
        </w:tc>
        <w:tc>
          <w:tcPr>
            <w:tcW w:w="660" w:type="pct"/>
            <w:noWrap w:val="0"/>
            <w:tcMar>
              <w:top w:w="6" w:type="dxa"/>
              <w:left w:w="6" w:type="dxa"/>
              <w:bottom w:w="0" w:type="dxa"/>
              <w:right w:w="6" w:type="dxa"/>
            </w:tcMar>
            <w:vAlign w:val="center"/>
          </w:tcPr>
          <w:p w14:paraId="03DB6C41">
            <w:pPr>
              <w:pStyle w:val="17"/>
              <w:bidi w:val="0"/>
              <w:rPr>
                <w:rFonts w:hint="default"/>
              </w:rPr>
            </w:pPr>
            <w:r>
              <w:rPr>
                <w:rFonts w:hint="default"/>
              </w:rPr>
              <w:t>悬浮物</w:t>
            </w:r>
          </w:p>
        </w:tc>
        <w:tc>
          <w:tcPr>
            <w:tcW w:w="758" w:type="pct"/>
            <w:noWrap w:val="0"/>
            <w:tcMar>
              <w:top w:w="6" w:type="dxa"/>
              <w:left w:w="6" w:type="dxa"/>
              <w:bottom w:w="0" w:type="dxa"/>
              <w:right w:w="6" w:type="dxa"/>
            </w:tcMar>
            <w:vAlign w:val="center"/>
          </w:tcPr>
          <w:p w14:paraId="1B7AFA4A">
            <w:pPr>
              <w:pStyle w:val="17"/>
              <w:bidi w:val="0"/>
              <w:rPr>
                <w:rFonts w:hint="default"/>
              </w:rPr>
            </w:pPr>
            <w:r>
              <w:rPr>
                <w:rFonts w:hint="default"/>
              </w:rPr>
              <w:t>白山市环境保护局2001/1/3</w:t>
            </w:r>
          </w:p>
        </w:tc>
        <w:tc>
          <w:tcPr>
            <w:tcW w:w="409" w:type="pct"/>
            <w:noWrap w:val="0"/>
            <w:tcMar>
              <w:top w:w="6" w:type="dxa"/>
              <w:left w:w="6" w:type="dxa"/>
              <w:bottom w:w="0" w:type="dxa"/>
              <w:right w:w="6" w:type="dxa"/>
            </w:tcMar>
            <w:vAlign w:val="center"/>
          </w:tcPr>
          <w:p w14:paraId="1222E2B2">
            <w:pPr>
              <w:pStyle w:val="17"/>
              <w:bidi w:val="0"/>
              <w:rPr>
                <w:rFonts w:hint="default"/>
              </w:rPr>
            </w:pPr>
            <w:r>
              <w:rPr>
                <w:rFonts w:hint="default"/>
              </w:rPr>
              <w:t>停用</w:t>
            </w:r>
          </w:p>
        </w:tc>
        <w:tc>
          <w:tcPr>
            <w:tcW w:w="710" w:type="pct"/>
            <w:noWrap w:val="0"/>
            <w:tcMar>
              <w:top w:w="6" w:type="dxa"/>
              <w:left w:w="6" w:type="dxa"/>
              <w:bottom w:w="0" w:type="dxa"/>
              <w:right w:w="6" w:type="dxa"/>
            </w:tcMar>
            <w:vAlign w:val="center"/>
          </w:tcPr>
          <w:p w14:paraId="1329FDC6">
            <w:pPr>
              <w:pStyle w:val="17"/>
              <w:bidi w:val="0"/>
              <w:rPr>
                <w:rFonts w:hint="default"/>
              </w:rPr>
            </w:pPr>
            <w:r>
              <w:rPr>
                <w:rFonts w:hint="default"/>
              </w:rPr>
              <w:t>无</w:t>
            </w:r>
          </w:p>
        </w:tc>
        <w:tc>
          <w:tcPr>
            <w:tcW w:w="384" w:type="pct"/>
            <w:noWrap w:val="0"/>
            <w:tcMar>
              <w:top w:w="6" w:type="dxa"/>
              <w:left w:w="6" w:type="dxa"/>
              <w:bottom w:w="0" w:type="dxa"/>
              <w:right w:w="6" w:type="dxa"/>
            </w:tcMar>
            <w:vAlign w:val="center"/>
          </w:tcPr>
          <w:p w14:paraId="2454D4BA">
            <w:pPr>
              <w:pStyle w:val="17"/>
              <w:bidi w:val="0"/>
              <w:rPr>
                <w:rFonts w:hint="default"/>
              </w:rPr>
            </w:pPr>
            <w:r>
              <w:rPr>
                <w:rFonts w:hint="default"/>
              </w:rPr>
              <w:t>正常库</w:t>
            </w:r>
          </w:p>
        </w:tc>
      </w:tr>
      <w:tr w14:paraId="5606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1115" w:type="pct"/>
            <w:noWrap w:val="0"/>
            <w:tcMar>
              <w:top w:w="6" w:type="dxa"/>
              <w:left w:w="6" w:type="dxa"/>
              <w:bottom w:w="0" w:type="dxa"/>
              <w:right w:w="6" w:type="dxa"/>
            </w:tcMar>
            <w:vAlign w:val="center"/>
          </w:tcPr>
          <w:p w14:paraId="5703CFE2">
            <w:pPr>
              <w:pStyle w:val="17"/>
              <w:bidi w:val="0"/>
              <w:rPr>
                <w:rFonts w:hint="default"/>
              </w:rPr>
            </w:pPr>
            <w:r>
              <w:rPr>
                <w:rFonts w:hint="default"/>
              </w:rPr>
              <w:t>白山市江源区虹兴矿业有限责任公司</w:t>
            </w:r>
          </w:p>
        </w:tc>
        <w:tc>
          <w:tcPr>
            <w:tcW w:w="710" w:type="pct"/>
            <w:noWrap w:val="0"/>
            <w:tcMar>
              <w:top w:w="6" w:type="dxa"/>
              <w:left w:w="6" w:type="dxa"/>
              <w:bottom w:w="0" w:type="dxa"/>
              <w:right w:w="6" w:type="dxa"/>
            </w:tcMar>
            <w:vAlign w:val="center"/>
          </w:tcPr>
          <w:p w14:paraId="42972F4C">
            <w:pPr>
              <w:pStyle w:val="17"/>
              <w:bidi w:val="0"/>
              <w:rPr>
                <w:rFonts w:hint="default"/>
              </w:rPr>
            </w:pPr>
            <w:r>
              <w:rPr>
                <w:rFonts w:hint="default"/>
              </w:rPr>
              <w:t>砟子镇八宝村</w:t>
            </w:r>
          </w:p>
        </w:tc>
        <w:tc>
          <w:tcPr>
            <w:tcW w:w="254" w:type="pct"/>
            <w:noWrap w:val="0"/>
            <w:tcMar>
              <w:top w:w="6" w:type="dxa"/>
              <w:left w:w="6" w:type="dxa"/>
              <w:bottom w:w="0" w:type="dxa"/>
              <w:right w:w="6" w:type="dxa"/>
            </w:tcMar>
            <w:vAlign w:val="center"/>
          </w:tcPr>
          <w:p w14:paraId="3300B539">
            <w:pPr>
              <w:pStyle w:val="17"/>
              <w:bidi w:val="0"/>
              <w:rPr>
                <w:rFonts w:hint="default"/>
              </w:rPr>
            </w:pPr>
            <w:r>
              <w:rPr>
                <w:rFonts w:hint="default"/>
              </w:rPr>
              <w:t>选铁</w:t>
            </w:r>
          </w:p>
        </w:tc>
        <w:tc>
          <w:tcPr>
            <w:tcW w:w="660" w:type="pct"/>
            <w:noWrap w:val="0"/>
            <w:tcMar>
              <w:top w:w="6" w:type="dxa"/>
              <w:left w:w="6" w:type="dxa"/>
              <w:bottom w:w="0" w:type="dxa"/>
              <w:right w:w="6" w:type="dxa"/>
            </w:tcMar>
            <w:vAlign w:val="center"/>
          </w:tcPr>
          <w:p w14:paraId="5E57EA48">
            <w:pPr>
              <w:pStyle w:val="17"/>
              <w:bidi w:val="0"/>
              <w:rPr>
                <w:rFonts w:hint="default"/>
              </w:rPr>
            </w:pPr>
            <w:r>
              <w:rPr>
                <w:rFonts w:hint="default"/>
              </w:rPr>
              <w:t>悬浮物</w:t>
            </w:r>
          </w:p>
        </w:tc>
        <w:tc>
          <w:tcPr>
            <w:tcW w:w="758" w:type="pct"/>
            <w:noWrap w:val="0"/>
            <w:tcMar>
              <w:top w:w="6" w:type="dxa"/>
              <w:left w:w="6" w:type="dxa"/>
              <w:bottom w:w="0" w:type="dxa"/>
              <w:right w:w="6" w:type="dxa"/>
            </w:tcMar>
            <w:vAlign w:val="center"/>
          </w:tcPr>
          <w:p w14:paraId="55170D30">
            <w:pPr>
              <w:pStyle w:val="17"/>
              <w:bidi w:val="0"/>
              <w:rPr>
                <w:rFonts w:hint="default"/>
              </w:rPr>
            </w:pPr>
            <w:r>
              <w:rPr>
                <w:rFonts w:hint="default"/>
              </w:rPr>
              <w:t>现状环评</w:t>
            </w:r>
          </w:p>
        </w:tc>
        <w:tc>
          <w:tcPr>
            <w:tcW w:w="409" w:type="pct"/>
            <w:noWrap w:val="0"/>
            <w:tcMar>
              <w:top w:w="6" w:type="dxa"/>
              <w:left w:w="6" w:type="dxa"/>
              <w:bottom w:w="0" w:type="dxa"/>
              <w:right w:w="6" w:type="dxa"/>
            </w:tcMar>
            <w:vAlign w:val="center"/>
          </w:tcPr>
          <w:p w14:paraId="5103837F">
            <w:pPr>
              <w:pStyle w:val="17"/>
              <w:bidi w:val="0"/>
              <w:rPr>
                <w:rFonts w:hint="default"/>
              </w:rPr>
            </w:pPr>
            <w:r>
              <w:rPr>
                <w:rFonts w:hint="default"/>
              </w:rPr>
              <w:t>停用</w:t>
            </w:r>
          </w:p>
        </w:tc>
        <w:tc>
          <w:tcPr>
            <w:tcW w:w="710" w:type="pct"/>
            <w:noWrap w:val="0"/>
            <w:tcMar>
              <w:top w:w="6" w:type="dxa"/>
              <w:left w:w="6" w:type="dxa"/>
              <w:bottom w:w="0" w:type="dxa"/>
              <w:right w:w="6" w:type="dxa"/>
            </w:tcMar>
            <w:vAlign w:val="center"/>
          </w:tcPr>
          <w:p w14:paraId="65DECB5A">
            <w:pPr>
              <w:pStyle w:val="17"/>
              <w:bidi w:val="0"/>
              <w:rPr>
                <w:rFonts w:hint="default"/>
              </w:rPr>
            </w:pPr>
            <w:r>
              <w:rPr>
                <w:rFonts w:hint="default"/>
              </w:rPr>
              <w:t>有</w:t>
            </w:r>
          </w:p>
        </w:tc>
        <w:tc>
          <w:tcPr>
            <w:tcW w:w="384" w:type="pct"/>
            <w:noWrap w:val="0"/>
            <w:tcMar>
              <w:top w:w="6" w:type="dxa"/>
              <w:left w:w="6" w:type="dxa"/>
              <w:bottom w:w="0" w:type="dxa"/>
              <w:right w:w="6" w:type="dxa"/>
            </w:tcMar>
            <w:vAlign w:val="center"/>
          </w:tcPr>
          <w:p w14:paraId="1FA85F06">
            <w:pPr>
              <w:pStyle w:val="17"/>
              <w:bidi w:val="0"/>
              <w:rPr>
                <w:rFonts w:hint="default"/>
              </w:rPr>
            </w:pPr>
            <w:r>
              <w:rPr>
                <w:rFonts w:hint="default"/>
              </w:rPr>
              <w:t>正常库</w:t>
            </w:r>
          </w:p>
        </w:tc>
      </w:tr>
    </w:tbl>
    <w:p w14:paraId="4CCFAE4A">
      <w:pPr>
        <w:bidi w:val="0"/>
        <w:rPr>
          <w:rFonts w:hint="default"/>
        </w:rPr>
      </w:pPr>
      <w:bookmarkStart w:id="58" w:name="_Toc82172421"/>
    </w:p>
    <w:p w14:paraId="416A5E8B">
      <w:pPr>
        <w:pStyle w:val="4"/>
        <w:bidi w:val="0"/>
        <w:rPr>
          <w:rFonts w:hint="default"/>
        </w:rPr>
      </w:pPr>
      <w:bookmarkStart w:id="59" w:name="_Toc13499"/>
      <w:r>
        <w:rPr>
          <w:rFonts w:hint="default"/>
        </w:rPr>
        <w:t>松花江流域参乡一号桥断面汇水范围</w:t>
      </w:r>
      <w:bookmarkEnd w:id="58"/>
      <w:bookmarkEnd w:id="59"/>
    </w:p>
    <w:p w14:paraId="0B5BB3BC">
      <w:pPr>
        <w:bidi w:val="0"/>
        <w:rPr>
          <w:rFonts w:hint="default"/>
        </w:rPr>
      </w:pPr>
      <w:r>
        <w:rPr>
          <w:rFonts w:hint="default"/>
        </w:rPr>
        <w:t>参乡一号桥汇水范围包括江源区2个乡镇（湾沟镇、松树镇）和抚松县2个乡镇（仙人桥镇、漫江镇），流域面积3873.86平方公里，9.1127万人。参乡一号桥汇水范围如下图3-3所示。</w:t>
      </w:r>
    </w:p>
    <w:p w14:paraId="31B6E1E8">
      <w:pPr>
        <w:bidi w:val="0"/>
        <w:rPr>
          <w:rFonts w:hint="default"/>
        </w:rPr>
      </w:pPr>
      <w:r>
        <w:rPr>
          <w:rFonts w:hint="default"/>
        </w:rPr>
        <w:t>“十三五”期间，参乡一号桥断面连续5年达到Ⅱ类标准；参乡一号桥断面汇水范围内无成型灌区，无鱼塘补水；年均工业增加值为24.5834亿元，占白山市的8.54%；年均耕地面积2.1885万亩，占白山市的2.32%；年均牲畜数量为0.8702万头，占白山市总量的2.09%。该汇水范围内工业增加值和牲畜数量逐年降低，且白山市145户规模化养殖场已完成粪污资源化利用设施建设，设施配套率88.28%，粪污资源化利用率达74.06%，因此畜禽养殖对水环境的影响也将进一步降低；未来五年工业、种植业和畜牧业的发展对区域水环境造成的压力较小。</w:t>
      </w:r>
    </w:p>
    <w:p w14:paraId="78C4816C">
      <w:pPr>
        <w:bidi w:val="0"/>
        <w:rPr>
          <w:rFonts w:hint="default" w:ascii="Times New Roman" w:hAnsi="Times New Roman" w:eastAsia="宋体" w:cs="Times New Roman"/>
          <w:color w:val="auto"/>
          <w:szCs w:val="24"/>
        </w:rPr>
      </w:pPr>
      <w:r>
        <w:rPr>
          <w:rFonts w:hint="default"/>
        </w:rPr>
        <w:t>“十三五”期间，参乡一号桥断面汇水范围内水资源总量有一定幅度的增加，年均水资源总量为11.0207亿立方米，占白山市总量的12.98%，高于平均水平。</w:t>
      </w:r>
      <w:r>
        <w:rPr>
          <w:rFonts w:hint="default" w:ascii="Times New Roman" w:hAnsi="Times New Roman" w:eastAsia="宋体" w:cs="Times New Roman"/>
          <w:color w:val="auto"/>
          <w:szCs w:val="24"/>
        </w:rPr>
        <w:t>该汇水范围内有8个水电站，略低于平均水平，对河流生态流量有一定影响。</w:t>
      </w:r>
    </w:p>
    <w:p w14:paraId="18463BF2">
      <w:pPr>
        <w:pStyle w:val="5"/>
        <w:bidi w:val="0"/>
        <w:rPr>
          <w:rFonts w:hint="default"/>
        </w:rPr>
      </w:pPr>
      <w:r>
        <w:rPr>
          <w:rFonts w:hint="default"/>
        </w:rPr>
        <w:t>问题</w:t>
      </w:r>
    </w:p>
    <w:p w14:paraId="413CA9C7">
      <w:pPr>
        <w:bidi w:val="0"/>
        <w:rPr>
          <w:rFonts w:hint="default"/>
          <w:color w:val="0000FF"/>
        </w:rPr>
      </w:pPr>
      <w:r>
        <w:rPr>
          <w:rFonts w:hint="default"/>
          <w:color w:val="auto"/>
        </w:rPr>
        <w:t>经济发展过程中存在污水处理能力不足的隐患。参乡一号桥汇水范围内存在部分乡镇雨污分流管网建设尚未完成，污水处理厂负荷压力大的情况。随着江源区、抚松县和靖宇县不断发展，存在污水处理能力不足的隐患。矿山及取土场生态尚未恢复，会加剧水土流失，对水生态带来风险。</w:t>
      </w:r>
      <w:r>
        <w:rPr>
          <w:rFonts w:hint="default"/>
          <w:color w:val="0000FF"/>
        </w:rPr>
        <w:t>汤河河道管理范围存在农田占用，生态缓冲功能弱；</w:t>
      </w:r>
      <w:r>
        <w:rPr>
          <w:rFonts w:hint="eastAsia" w:ascii="Times New Roman" w:hAnsi="Times New Roman" w:cs="Times New Roman"/>
          <w:color w:val="0000FF"/>
          <w:lang w:eastAsia="zh-CN"/>
        </w:rPr>
        <w:t>汤河流域存在面源污染问题；汤河流域水土流失较重；汤河流域生物多样性低。</w:t>
      </w:r>
    </w:p>
    <w:p w14:paraId="4D6F8D6B">
      <w:pPr>
        <w:pStyle w:val="5"/>
        <w:bidi w:val="0"/>
        <w:rPr>
          <w:rFonts w:hint="default"/>
        </w:rPr>
      </w:pPr>
      <w:r>
        <w:rPr>
          <w:rFonts w:hint="default"/>
        </w:rPr>
        <w:t>成因</w:t>
      </w:r>
    </w:p>
    <w:p w14:paraId="7317734C">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乡镇缺乏生活污水收集处理设施，管网建设不完善：参乡一号桥汇水范围内包括江源区湾沟镇、松树镇2个镇，共有建制村16个，汇水范围内村镇生活污水收集处理设施不足。污水处理设施主要包括污水处理厂、污水收集管网及其他一些配套设施，江源区污水处理设施的规划和建设速度未能与其城镇化进程相匹配。</w:t>
      </w:r>
    </w:p>
    <w:p w14:paraId="432E2034">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②流域内存在村屯及耕地，农业农村面源污染对河流水质会带来一定影响</w:t>
      </w:r>
    </w:p>
    <w:p w14:paraId="45256758">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目前，沿汤河及其支流村镇周围存在一定量耕地，农药化肥施用，存在农业面源污染。</w:t>
      </w:r>
    </w:p>
    <w:p w14:paraId="0BE8E9C8">
      <w:pPr>
        <w:kinsoku/>
        <w:wordWrap/>
        <w:topLinePunct w:val="0"/>
        <w:autoSpaceDE/>
        <w:autoSpaceDN/>
        <w:bidi w:val="0"/>
        <w:adjustRightInd/>
        <w:snapToGrid/>
        <w:spacing w:line="360" w:lineRule="auto"/>
        <w:ind w:firstLine="641"/>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③矿山及取土场生态尚未恢复，会加剧水土流失，对水生态带来风险。</w:t>
      </w:r>
    </w:p>
    <w:p w14:paraId="184BC6AD">
      <w:pPr>
        <w:bidi w:val="0"/>
        <w:rPr>
          <w:rFonts w:hint="default" w:eastAsia="宋体"/>
          <w:lang w:val="en-US" w:eastAsia="zh-CN"/>
        </w:rPr>
        <w:sectPr>
          <w:headerReference r:id="rId10" w:type="first"/>
          <w:footerReference r:id="rId13" w:type="first"/>
          <w:headerReference r:id="rId8" w:type="default"/>
          <w:footerReference r:id="rId11" w:type="default"/>
          <w:headerReference r:id="rId9" w:type="even"/>
          <w:footerReference r:id="rId12" w:type="even"/>
          <w:pgSz w:w="11906" w:h="16838"/>
          <w:pgMar w:top="1440" w:right="1800" w:bottom="1440" w:left="1800" w:header="851" w:footer="992" w:gutter="0"/>
          <w:pgNumType w:fmt="numberInDash"/>
          <w:cols w:space="0" w:num="1"/>
          <w:rtlGutter w:val="0"/>
          <w:docGrid w:type="lines" w:linePitch="332" w:charSpace="0"/>
        </w:sectPr>
      </w:pPr>
      <w:r>
        <w:rPr>
          <w:rFonts w:hint="default"/>
        </w:rPr>
        <w:fldChar w:fldCharType="begin"/>
      </w:r>
      <w:r>
        <w:rPr>
          <w:rFonts w:hint="default"/>
        </w:rPr>
        <w:instrText xml:space="preserve"> = 4 \* GB3 \* MERGEFORMAT </w:instrText>
      </w:r>
      <w:r>
        <w:rPr>
          <w:rFonts w:hint="default"/>
        </w:rPr>
        <w:fldChar w:fldCharType="separate"/>
      </w:r>
      <w:r>
        <w:t>④</w:t>
      </w:r>
      <w:r>
        <w:rPr>
          <w:rFonts w:hint="default"/>
        </w:rPr>
        <w:fldChar w:fldCharType="end"/>
      </w:r>
      <w:r>
        <w:rPr>
          <w:rFonts w:hint="default"/>
          <w:color w:val="0000FF"/>
        </w:rPr>
        <w:t>汤河河道管理范围存在农田占用</w:t>
      </w:r>
      <w:r>
        <w:rPr>
          <w:rFonts w:hint="eastAsia"/>
          <w:color w:val="0000FF"/>
          <w:lang w:eastAsia="zh-CN"/>
        </w:rPr>
        <w:t>，</w:t>
      </w:r>
      <w:r>
        <w:rPr>
          <w:rFonts w:hint="eastAsia"/>
          <w:color w:val="0000FF"/>
          <w:lang w:val="en-US" w:eastAsia="zh-CN"/>
        </w:rPr>
        <w:t>存在农业面源污染和水土流失现象。</w:t>
      </w:r>
    </w:p>
    <w:p w14:paraId="3173A976">
      <w:pPr>
        <w:pStyle w:val="16"/>
        <w:bidi w:val="0"/>
        <w:rPr>
          <w:rFonts w:hint="default"/>
        </w:rPr>
      </w:pPr>
      <w:r>
        <w:rPr>
          <w:rFonts w:hint="default"/>
        </w:rPr>
        <w:t>表</w:t>
      </w:r>
      <w:r>
        <w:rPr>
          <w:rFonts w:hint="eastAsia"/>
          <w:lang w:val="en-US" w:eastAsia="zh-CN"/>
        </w:rPr>
        <w:t>1-21</w:t>
      </w:r>
      <w:r>
        <w:rPr>
          <w:rFonts w:hint="default"/>
        </w:rPr>
        <w:t>江源区水生态现状、问题、成因清单</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9"/>
        <w:gridCol w:w="760"/>
        <w:gridCol w:w="760"/>
        <w:gridCol w:w="2700"/>
        <w:gridCol w:w="1181"/>
        <w:gridCol w:w="2238"/>
      </w:tblGrid>
      <w:tr w14:paraId="66C53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46" w:hRule="atLeast"/>
          <w:tblHeader/>
        </w:trPr>
        <w:tc>
          <w:tcPr>
            <w:tcW w:w="408" w:type="pct"/>
            <w:noWrap w:val="0"/>
            <w:tcMar>
              <w:top w:w="6" w:type="dxa"/>
              <w:left w:w="6" w:type="dxa"/>
              <w:bottom w:w="0" w:type="dxa"/>
              <w:right w:w="6" w:type="dxa"/>
            </w:tcMar>
            <w:vAlign w:val="center"/>
          </w:tcPr>
          <w:p w14:paraId="72CF4274">
            <w:pPr>
              <w:pStyle w:val="17"/>
              <w:bidi w:val="0"/>
              <w:rPr>
                <w:rFonts w:hint="eastAsia" w:eastAsia="宋体"/>
                <w:lang w:eastAsia="zh-CN"/>
              </w:rPr>
            </w:pPr>
            <w:r>
              <w:rPr>
                <w:rFonts w:hint="eastAsia"/>
                <w:lang w:val="en-US" w:eastAsia="zh-CN"/>
              </w:rPr>
              <w:t>水系</w:t>
            </w:r>
          </w:p>
        </w:tc>
        <w:tc>
          <w:tcPr>
            <w:tcW w:w="457" w:type="pct"/>
            <w:noWrap w:val="0"/>
            <w:tcMar>
              <w:top w:w="6" w:type="dxa"/>
              <w:left w:w="6" w:type="dxa"/>
              <w:bottom w:w="0" w:type="dxa"/>
              <w:right w:w="6" w:type="dxa"/>
            </w:tcMar>
            <w:vAlign w:val="center"/>
          </w:tcPr>
          <w:p w14:paraId="742400FD">
            <w:pPr>
              <w:pStyle w:val="17"/>
              <w:bidi w:val="0"/>
              <w:rPr>
                <w:rFonts w:hint="default"/>
              </w:rPr>
            </w:pPr>
            <w:r>
              <w:rPr>
                <w:rFonts w:hint="default"/>
              </w:rPr>
              <w:t>控制单元</w:t>
            </w:r>
          </w:p>
        </w:tc>
        <w:tc>
          <w:tcPr>
            <w:tcW w:w="457" w:type="pct"/>
            <w:noWrap w:val="0"/>
            <w:tcMar>
              <w:top w:w="6" w:type="dxa"/>
              <w:left w:w="6" w:type="dxa"/>
              <w:bottom w:w="0" w:type="dxa"/>
              <w:right w:w="6" w:type="dxa"/>
            </w:tcMar>
            <w:vAlign w:val="center"/>
          </w:tcPr>
          <w:p w14:paraId="75721949">
            <w:pPr>
              <w:pStyle w:val="17"/>
              <w:bidi w:val="0"/>
              <w:rPr>
                <w:rFonts w:hint="default"/>
              </w:rPr>
            </w:pPr>
            <w:r>
              <w:rPr>
                <w:rFonts w:hint="default"/>
              </w:rPr>
              <w:t>所在水体</w:t>
            </w:r>
          </w:p>
        </w:tc>
        <w:tc>
          <w:tcPr>
            <w:tcW w:w="1623" w:type="pct"/>
            <w:noWrap w:val="0"/>
            <w:tcMar>
              <w:top w:w="6" w:type="dxa"/>
              <w:left w:w="6" w:type="dxa"/>
              <w:bottom w:w="0" w:type="dxa"/>
              <w:right w:w="6" w:type="dxa"/>
            </w:tcMar>
            <w:vAlign w:val="center"/>
          </w:tcPr>
          <w:p w14:paraId="1B5D3D3A">
            <w:pPr>
              <w:pStyle w:val="17"/>
              <w:bidi w:val="0"/>
              <w:rPr>
                <w:rFonts w:hint="default"/>
              </w:rPr>
            </w:pPr>
            <w:r>
              <w:rPr>
                <w:rFonts w:hint="default"/>
              </w:rPr>
              <w:t>现状</w:t>
            </w:r>
          </w:p>
        </w:tc>
        <w:tc>
          <w:tcPr>
            <w:tcW w:w="710" w:type="pct"/>
            <w:noWrap w:val="0"/>
            <w:tcMar>
              <w:top w:w="6" w:type="dxa"/>
              <w:left w:w="6" w:type="dxa"/>
              <w:bottom w:w="0" w:type="dxa"/>
              <w:right w:w="6" w:type="dxa"/>
            </w:tcMar>
            <w:vAlign w:val="center"/>
          </w:tcPr>
          <w:p w14:paraId="7968B865">
            <w:pPr>
              <w:pStyle w:val="17"/>
              <w:bidi w:val="0"/>
              <w:rPr>
                <w:rFonts w:hint="default"/>
              </w:rPr>
            </w:pPr>
            <w:r>
              <w:rPr>
                <w:rFonts w:hint="default"/>
              </w:rPr>
              <w:t>问题</w:t>
            </w:r>
          </w:p>
        </w:tc>
        <w:tc>
          <w:tcPr>
            <w:tcW w:w="1345" w:type="pct"/>
            <w:noWrap w:val="0"/>
            <w:tcMar>
              <w:top w:w="6" w:type="dxa"/>
              <w:left w:w="6" w:type="dxa"/>
              <w:bottom w:w="0" w:type="dxa"/>
              <w:right w:w="6" w:type="dxa"/>
            </w:tcMar>
            <w:vAlign w:val="center"/>
          </w:tcPr>
          <w:p w14:paraId="4A35361C">
            <w:pPr>
              <w:pStyle w:val="17"/>
              <w:bidi w:val="0"/>
              <w:rPr>
                <w:rFonts w:hint="default"/>
              </w:rPr>
            </w:pPr>
            <w:r>
              <w:rPr>
                <w:rFonts w:hint="default"/>
              </w:rPr>
              <w:t>成因</w:t>
            </w:r>
          </w:p>
        </w:tc>
      </w:tr>
      <w:tr w14:paraId="61D7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408" w:type="pct"/>
            <w:vMerge w:val="restart"/>
            <w:noWrap w:val="0"/>
            <w:tcMar>
              <w:top w:w="6" w:type="dxa"/>
              <w:left w:w="6" w:type="dxa"/>
              <w:bottom w:w="0" w:type="dxa"/>
              <w:right w:w="6" w:type="dxa"/>
            </w:tcMar>
            <w:vAlign w:val="center"/>
          </w:tcPr>
          <w:p w14:paraId="0C6CD4FB">
            <w:pPr>
              <w:pStyle w:val="17"/>
              <w:bidi w:val="0"/>
              <w:rPr>
                <w:rFonts w:hint="default" w:eastAsia="宋体"/>
                <w:lang w:val="en-US" w:eastAsia="zh-CN"/>
              </w:rPr>
            </w:pPr>
            <w:r>
              <w:rPr>
                <w:rFonts w:hint="eastAsia"/>
                <w:lang w:val="en-US" w:eastAsia="zh-CN"/>
              </w:rPr>
              <w:t>LYJ水系</w:t>
            </w:r>
          </w:p>
        </w:tc>
        <w:tc>
          <w:tcPr>
            <w:tcW w:w="457" w:type="pct"/>
            <w:vMerge w:val="restart"/>
            <w:noWrap w:val="0"/>
            <w:tcMar>
              <w:top w:w="6" w:type="dxa"/>
              <w:left w:w="6" w:type="dxa"/>
              <w:bottom w:w="0" w:type="dxa"/>
              <w:right w:w="6" w:type="dxa"/>
            </w:tcMar>
            <w:vAlign w:val="center"/>
          </w:tcPr>
          <w:p w14:paraId="17FCB7FB">
            <w:pPr>
              <w:pStyle w:val="17"/>
              <w:bidi w:val="0"/>
              <w:rPr>
                <w:rFonts w:hint="default"/>
              </w:rPr>
            </w:pPr>
            <w:r>
              <w:rPr>
                <w:rFonts w:hint="default"/>
              </w:rPr>
              <w:t>大阳岔控制单元</w:t>
            </w:r>
          </w:p>
        </w:tc>
        <w:tc>
          <w:tcPr>
            <w:tcW w:w="457" w:type="pct"/>
            <w:vMerge w:val="restart"/>
            <w:noWrap w:val="0"/>
            <w:tcMar>
              <w:top w:w="6" w:type="dxa"/>
              <w:left w:w="6" w:type="dxa"/>
              <w:bottom w:w="0" w:type="dxa"/>
              <w:right w:w="6" w:type="dxa"/>
            </w:tcMar>
            <w:vAlign w:val="center"/>
          </w:tcPr>
          <w:p w14:paraId="676AE6C3">
            <w:pPr>
              <w:pStyle w:val="17"/>
              <w:bidi w:val="0"/>
              <w:rPr>
                <w:rFonts w:hint="default"/>
              </w:rPr>
            </w:pPr>
            <w:r>
              <w:rPr>
                <w:rFonts w:hint="default"/>
              </w:rPr>
              <w:t>浑江</w:t>
            </w:r>
          </w:p>
        </w:tc>
        <w:tc>
          <w:tcPr>
            <w:tcW w:w="1623" w:type="pct"/>
            <w:noWrap w:val="0"/>
            <w:tcMar>
              <w:top w:w="6" w:type="dxa"/>
              <w:left w:w="6" w:type="dxa"/>
              <w:bottom w:w="0" w:type="dxa"/>
              <w:right w:w="6" w:type="dxa"/>
            </w:tcMar>
            <w:vAlign w:val="center"/>
          </w:tcPr>
          <w:p w14:paraId="775D7459">
            <w:pPr>
              <w:pStyle w:val="17"/>
              <w:bidi w:val="0"/>
              <w:rPr>
                <w:rFonts w:hint="default"/>
              </w:rPr>
            </w:pPr>
            <w:r>
              <w:rPr>
                <w:rFonts w:hint="default"/>
              </w:rPr>
              <w:t>水环境：江源（浑）/大阳岔汇水范围内有两个考核断面，其中大阳岔断面为国控断面，考核水质为</w:t>
            </w:r>
            <w:r>
              <w:rPr>
                <w:rFonts w:hint="default"/>
              </w:rPr>
              <w:fldChar w:fldCharType="begin"/>
            </w:r>
            <w:r>
              <w:rPr>
                <w:rFonts w:hint="default"/>
              </w:rPr>
              <w:instrText xml:space="preserve"> = 2 \* ROMAN </w:instrText>
            </w:r>
            <w:r>
              <w:rPr>
                <w:rFonts w:hint="default"/>
              </w:rPr>
              <w:fldChar w:fldCharType="separate"/>
            </w:r>
            <w:r>
              <w:rPr>
                <w:rFonts w:hint="default"/>
              </w:rPr>
              <w:t>II</w:t>
            </w:r>
            <w:r>
              <w:rPr>
                <w:rFonts w:hint="default"/>
              </w:rPr>
              <w:fldChar w:fldCharType="end"/>
            </w:r>
            <w:r>
              <w:rPr>
                <w:rFonts w:hint="default"/>
              </w:rPr>
              <w:t>类，“十三五”期间水质年均值均保持</w:t>
            </w:r>
            <w:r>
              <w:rPr>
                <w:rFonts w:hint="default"/>
              </w:rPr>
              <w:fldChar w:fldCharType="begin"/>
            </w:r>
            <w:r>
              <w:rPr>
                <w:rFonts w:hint="default"/>
              </w:rPr>
              <w:instrText xml:space="preserve"> = 2 \* ROMAN </w:instrText>
            </w:r>
            <w:r>
              <w:rPr>
                <w:rFonts w:hint="default"/>
              </w:rPr>
              <w:fldChar w:fldCharType="separate"/>
            </w:r>
            <w:r>
              <w:rPr>
                <w:rFonts w:hint="default"/>
              </w:rPr>
              <w:t>II</w:t>
            </w:r>
            <w:r>
              <w:rPr>
                <w:rFonts w:hint="default"/>
              </w:rPr>
              <w:fldChar w:fldCharType="end"/>
            </w:r>
            <w:r>
              <w:rPr>
                <w:rFonts w:hint="default"/>
              </w:rPr>
              <w:t>类；江源（浑）断面为地表水省控断面，为“十三五”新增考核断面，水功能区的水质目标为</w:t>
            </w:r>
            <w:r>
              <w:rPr>
                <w:rFonts w:hint="default"/>
              </w:rPr>
              <w:fldChar w:fldCharType="begin"/>
            </w:r>
            <w:r>
              <w:rPr>
                <w:rFonts w:hint="default"/>
              </w:rPr>
              <w:instrText xml:space="preserve"> = 3 \* ROMAN </w:instrText>
            </w:r>
            <w:r>
              <w:rPr>
                <w:rFonts w:hint="default"/>
              </w:rPr>
              <w:fldChar w:fldCharType="separate"/>
            </w:r>
            <w:r>
              <w:rPr>
                <w:rFonts w:hint="default"/>
              </w:rPr>
              <w:t>III</w:t>
            </w:r>
            <w:r>
              <w:rPr>
                <w:rFonts w:hint="default"/>
              </w:rPr>
              <w:fldChar w:fldCharType="end"/>
            </w:r>
            <w:r>
              <w:rPr>
                <w:rFonts w:hint="default"/>
              </w:rPr>
              <w:t>类，2018年3、5、6、9月份存在化学需氧量超标问题，超标倍数分别为0.1、0.2、0.1、0.25倍，2017年11月份和2018年3月存在总磷超标问题，超标倍数分别为0.1和0.4倍。</w:t>
            </w:r>
          </w:p>
        </w:tc>
        <w:tc>
          <w:tcPr>
            <w:tcW w:w="710" w:type="pct"/>
            <w:noWrap w:val="0"/>
            <w:tcMar>
              <w:top w:w="6" w:type="dxa"/>
              <w:left w:w="6" w:type="dxa"/>
              <w:bottom w:w="0" w:type="dxa"/>
              <w:right w:w="6" w:type="dxa"/>
            </w:tcMar>
            <w:vAlign w:val="center"/>
          </w:tcPr>
          <w:p w14:paraId="5565CF3A">
            <w:pPr>
              <w:pStyle w:val="17"/>
              <w:bidi w:val="0"/>
              <w:rPr>
                <w:rFonts w:hint="default"/>
              </w:rPr>
            </w:pPr>
            <w:r>
              <w:rPr>
                <w:rFonts w:hint="default"/>
              </w:rPr>
              <w:t>控制断面水质不能稳定达标</w:t>
            </w:r>
          </w:p>
        </w:tc>
        <w:tc>
          <w:tcPr>
            <w:tcW w:w="1345" w:type="pct"/>
            <w:noWrap w:val="0"/>
            <w:tcMar>
              <w:top w:w="6" w:type="dxa"/>
              <w:left w:w="6" w:type="dxa"/>
              <w:bottom w:w="0" w:type="dxa"/>
              <w:right w:w="6" w:type="dxa"/>
            </w:tcMar>
            <w:vAlign w:val="center"/>
          </w:tcPr>
          <w:p w14:paraId="057B4B78">
            <w:pPr>
              <w:pStyle w:val="17"/>
              <w:bidi w:val="0"/>
              <w:rPr>
                <w:rFonts w:hint="default"/>
              </w:rPr>
            </w:pPr>
            <w:r>
              <w:rPr>
                <w:rFonts w:hint="default"/>
              </w:rPr>
              <w:t>①雨污分流管网建设不到位；存在管网漏失情况；城镇污水处理厂进水浓度低，影响污染物去除效果②流域内存在村屯及耕地，目前，沿汤河及其支流村镇周围存在一定量耕地，农药化肥施用，存在农业面源污染③乡镇及建制村缺乏生活污水收集处理设施，管网建设不完善</w:t>
            </w:r>
          </w:p>
        </w:tc>
      </w:tr>
      <w:tr w14:paraId="31F8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408" w:type="pct"/>
            <w:vMerge w:val="continue"/>
            <w:noWrap w:val="0"/>
            <w:tcMar>
              <w:top w:w="6" w:type="dxa"/>
              <w:left w:w="6" w:type="dxa"/>
              <w:bottom w:w="0" w:type="dxa"/>
              <w:right w:w="6" w:type="dxa"/>
            </w:tcMar>
            <w:vAlign w:val="center"/>
          </w:tcPr>
          <w:p w14:paraId="7BE5C5B8">
            <w:pPr>
              <w:pStyle w:val="17"/>
              <w:bidi w:val="0"/>
              <w:rPr>
                <w:rFonts w:hint="default"/>
              </w:rPr>
            </w:pPr>
          </w:p>
        </w:tc>
        <w:tc>
          <w:tcPr>
            <w:tcW w:w="457" w:type="pct"/>
            <w:vMerge w:val="continue"/>
            <w:noWrap w:val="0"/>
            <w:tcMar>
              <w:top w:w="6" w:type="dxa"/>
              <w:left w:w="6" w:type="dxa"/>
              <w:bottom w:w="0" w:type="dxa"/>
              <w:right w:w="6" w:type="dxa"/>
            </w:tcMar>
            <w:vAlign w:val="center"/>
          </w:tcPr>
          <w:p w14:paraId="054C200E">
            <w:pPr>
              <w:pStyle w:val="17"/>
              <w:bidi w:val="0"/>
              <w:rPr>
                <w:rFonts w:hint="default"/>
              </w:rPr>
            </w:pPr>
          </w:p>
        </w:tc>
        <w:tc>
          <w:tcPr>
            <w:tcW w:w="457" w:type="pct"/>
            <w:vMerge w:val="continue"/>
            <w:noWrap w:val="0"/>
            <w:tcMar>
              <w:top w:w="6" w:type="dxa"/>
              <w:left w:w="6" w:type="dxa"/>
              <w:bottom w:w="0" w:type="dxa"/>
              <w:right w:w="6" w:type="dxa"/>
            </w:tcMar>
            <w:vAlign w:val="center"/>
          </w:tcPr>
          <w:p w14:paraId="17FBF544">
            <w:pPr>
              <w:pStyle w:val="17"/>
              <w:bidi w:val="0"/>
              <w:rPr>
                <w:rFonts w:hint="default"/>
              </w:rPr>
            </w:pPr>
          </w:p>
        </w:tc>
        <w:tc>
          <w:tcPr>
            <w:tcW w:w="1623" w:type="pct"/>
            <w:noWrap w:val="0"/>
            <w:tcMar>
              <w:top w:w="6" w:type="dxa"/>
              <w:left w:w="6" w:type="dxa"/>
              <w:bottom w:w="0" w:type="dxa"/>
              <w:right w:w="6" w:type="dxa"/>
            </w:tcMar>
            <w:vAlign w:val="center"/>
          </w:tcPr>
          <w:p w14:paraId="0BB5CE1A">
            <w:pPr>
              <w:pStyle w:val="17"/>
              <w:bidi w:val="0"/>
              <w:rPr>
                <w:rFonts w:hint="default"/>
              </w:rPr>
            </w:pPr>
            <w:r>
              <w:rPr>
                <w:rFonts w:hint="default"/>
              </w:rPr>
              <w:t>水风险：江源区饮用水源地水质优良率均为100%。2017年至2020年水源地各项指标均满足国家饮用水源地Ⅲ类水体标准的要求，水质优良率为100%。</w:t>
            </w:r>
          </w:p>
        </w:tc>
        <w:tc>
          <w:tcPr>
            <w:tcW w:w="710" w:type="pct"/>
            <w:noWrap w:val="0"/>
            <w:tcMar>
              <w:top w:w="6" w:type="dxa"/>
              <w:left w:w="6" w:type="dxa"/>
              <w:bottom w:w="0" w:type="dxa"/>
              <w:right w:w="6" w:type="dxa"/>
            </w:tcMar>
            <w:vAlign w:val="center"/>
          </w:tcPr>
          <w:p w14:paraId="0C67F490">
            <w:pPr>
              <w:pStyle w:val="17"/>
              <w:bidi w:val="0"/>
              <w:rPr>
                <w:rFonts w:hint="default"/>
              </w:rPr>
            </w:pPr>
            <w:r>
              <w:rPr>
                <w:rFonts w:hint="default"/>
              </w:rPr>
              <w:t>西北岔水源地尚需加强供水保障提升</w:t>
            </w:r>
          </w:p>
        </w:tc>
        <w:tc>
          <w:tcPr>
            <w:tcW w:w="1345" w:type="pct"/>
            <w:noWrap w:val="0"/>
            <w:tcMar>
              <w:top w:w="6" w:type="dxa"/>
              <w:left w:w="6" w:type="dxa"/>
              <w:bottom w:w="0" w:type="dxa"/>
              <w:right w:w="6" w:type="dxa"/>
            </w:tcMar>
            <w:vAlign w:val="center"/>
          </w:tcPr>
          <w:p w14:paraId="25EB149F">
            <w:pPr>
              <w:pStyle w:val="17"/>
              <w:bidi w:val="0"/>
              <w:rPr>
                <w:rFonts w:hint="default"/>
              </w:rPr>
            </w:pPr>
            <w:r>
              <w:rPr>
                <w:rFonts w:hint="default"/>
              </w:rPr>
              <w:t>西北岔水源地水源保护工程尚不完善</w:t>
            </w:r>
          </w:p>
        </w:tc>
      </w:tr>
      <w:tr w14:paraId="0ECD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408" w:type="pct"/>
            <w:vMerge w:val="continue"/>
            <w:noWrap w:val="0"/>
            <w:tcMar>
              <w:top w:w="6" w:type="dxa"/>
              <w:left w:w="6" w:type="dxa"/>
              <w:bottom w:w="0" w:type="dxa"/>
              <w:right w:w="6" w:type="dxa"/>
            </w:tcMar>
            <w:vAlign w:val="center"/>
          </w:tcPr>
          <w:p w14:paraId="111D8BC6">
            <w:pPr>
              <w:pStyle w:val="17"/>
              <w:bidi w:val="0"/>
              <w:rPr>
                <w:rFonts w:hint="default"/>
              </w:rPr>
            </w:pPr>
          </w:p>
        </w:tc>
        <w:tc>
          <w:tcPr>
            <w:tcW w:w="457" w:type="pct"/>
            <w:vMerge w:val="continue"/>
            <w:noWrap w:val="0"/>
            <w:tcMar>
              <w:top w:w="6" w:type="dxa"/>
              <w:left w:w="6" w:type="dxa"/>
              <w:bottom w:w="0" w:type="dxa"/>
              <w:right w:w="6" w:type="dxa"/>
            </w:tcMar>
            <w:vAlign w:val="center"/>
          </w:tcPr>
          <w:p w14:paraId="7B932BDB">
            <w:pPr>
              <w:pStyle w:val="17"/>
              <w:bidi w:val="0"/>
              <w:rPr>
                <w:rFonts w:hint="default"/>
              </w:rPr>
            </w:pPr>
          </w:p>
        </w:tc>
        <w:tc>
          <w:tcPr>
            <w:tcW w:w="457" w:type="pct"/>
            <w:vMerge w:val="continue"/>
            <w:noWrap w:val="0"/>
            <w:tcMar>
              <w:top w:w="6" w:type="dxa"/>
              <w:left w:w="6" w:type="dxa"/>
              <w:bottom w:w="0" w:type="dxa"/>
              <w:right w:w="6" w:type="dxa"/>
            </w:tcMar>
            <w:vAlign w:val="center"/>
          </w:tcPr>
          <w:p w14:paraId="03214626">
            <w:pPr>
              <w:pStyle w:val="17"/>
              <w:bidi w:val="0"/>
              <w:rPr>
                <w:rFonts w:hint="default"/>
              </w:rPr>
            </w:pPr>
          </w:p>
        </w:tc>
        <w:tc>
          <w:tcPr>
            <w:tcW w:w="1623" w:type="pct"/>
            <w:noWrap w:val="0"/>
            <w:tcMar>
              <w:top w:w="6" w:type="dxa"/>
              <w:left w:w="6" w:type="dxa"/>
              <w:bottom w:w="0" w:type="dxa"/>
              <w:right w:w="6" w:type="dxa"/>
            </w:tcMar>
            <w:vAlign w:val="center"/>
          </w:tcPr>
          <w:p w14:paraId="3F59ED24">
            <w:pPr>
              <w:pStyle w:val="17"/>
              <w:bidi w:val="0"/>
              <w:rPr>
                <w:rFonts w:hint="default"/>
              </w:rPr>
            </w:pPr>
            <w:r>
              <w:rPr>
                <w:rFonts w:hint="default"/>
              </w:rPr>
              <w:t>水生态：江源区目前无省级及国家级湿地公园及湿地保护区。白山市水生昆虫共166种，隶属于7目40科86属。其中浑江有48种。土著鱼种9种，其中1种于1990年消失，其他多数不在江源区，江源区所在区主要花在父鱼。区内部分矿山及取土场生态尚未恢复，会加剧水土流失，对水生态带来风险</w:t>
            </w:r>
          </w:p>
        </w:tc>
        <w:tc>
          <w:tcPr>
            <w:tcW w:w="710" w:type="pct"/>
            <w:noWrap w:val="0"/>
            <w:tcMar>
              <w:top w:w="6" w:type="dxa"/>
              <w:left w:w="6" w:type="dxa"/>
              <w:bottom w:w="0" w:type="dxa"/>
              <w:right w:w="6" w:type="dxa"/>
            </w:tcMar>
            <w:vAlign w:val="center"/>
          </w:tcPr>
          <w:p w14:paraId="01BE2013">
            <w:pPr>
              <w:pStyle w:val="17"/>
              <w:bidi w:val="0"/>
              <w:rPr>
                <w:rFonts w:hint="default"/>
              </w:rPr>
            </w:pPr>
          </w:p>
        </w:tc>
        <w:tc>
          <w:tcPr>
            <w:tcW w:w="1345" w:type="pct"/>
            <w:noWrap w:val="0"/>
            <w:tcMar>
              <w:top w:w="6" w:type="dxa"/>
              <w:left w:w="6" w:type="dxa"/>
              <w:bottom w:w="0" w:type="dxa"/>
              <w:right w:w="6" w:type="dxa"/>
            </w:tcMar>
            <w:vAlign w:val="center"/>
          </w:tcPr>
          <w:p w14:paraId="49C91FFE">
            <w:pPr>
              <w:pStyle w:val="17"/>
              <w:bidi w:val="0"/>
              <w:rPr>
                <w:rFonts w:hint="default"/>
              </w:rPr>
            </w:pPr>
            <w:r>
              <w:rPr>
                <w:rFonts w:hint="default"/>
              </w:rPr>
              <w:t>①浑江流域两岸河道护坡以水泥构筑物为主，未设计从陆地延伸到水面上的亲水平台，且河道护坡主要起行洪功能，汛期无法使用②矿山及取土场生态尚未恢复，会加剧水土流失，对水生态带来风险</w:t>
            </w:r>
          </w:p>
        </w:tc>
      </w:tr>
      <w:tr w14:paraId="03D3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0" w:type="auto"/>
            <w:vMerge w:val="continue"/>
            <w:noWrap w:val="0"/>
            <w:tcMar>
              <w:top w:w="6" w:type="dxa"/>
              <w:left w:w="6" w:type="dxa"/>
              <w:bottom w:w="0" w:type="dxa"/>
              <w:right w:w="6" w:type="dxa"/>
            </w:tcMar>
            <w:vAlign w:val="center"/>
          </w:tcPr>
          <w:p w14:paraId="38782B5B">
            <w:pPr>
              <w:pStyle w:val="17"/>
              <w:bidi w:val="0"/>
              <w:rPr>
                <w:rFonts w:hint="default"/>
              </w:rPr>
            </w:pPr>
          </w:p>
        </w:tc>
        <w:tc>
          <w:tcPr>
            <w:tcW w:w="0" w:type="auto"/>
            <w:vMerge w:val="restart"/>
            <w:noWrap w:val="0"/>
            <w:tcMar>
              <w:top w:w="6" w:type="dxa"/>
              <w:left w:w="6" w:type="dxa"/>
              <w:bottom w:w="0" w:type="dxa"/>
              <w:right w:w="6" w:type="dxa"/>
            </w:tcMar>
            <w:vAlign w:val="center"/>
          </w:tcPr>
          <w:p w14:paraId="3C0283D7">
            <w:pPr>
              <w:pStyle w:val="17"/>
              <w:bidi w:val="0"/>
              <w:rPr>
                <w:rFonts w:hint="default"/>
              </w:rPr>
            </w:pPr>
            <w:r>
              <w:rPr>
                <w:rFonts w:hint="default"/>
              </w:rPr>
              <w:t>西村控制单元</w:t>
            </w:r>
          </w:p>
        </w:tc>
        <w:tc>
          <w:tcPr>
            <w:tcW w:w="0" w:type="auto"/>
            <w:vMerge w:val="restart"/>
            <w:noWrap w:val="0"/>
            <w:tcMar>
              <w:top w:w="6" w:type="dxa"/>
              <w:left w:w="6" w:type="dxa"/>
              <w:bottom w:w="0" w:type="dxa"/>
              <w:right w:w="6" w:type="dxa"/>
            </w:tcMar>
            <w:vAlign w:val="center"/>
          </w:tcPr>
          <w:p w14:paraId="38B716E2">
            <w:pPr>
              <w:pStyle w:val="17"/>
              <w:bidi w:val="0"/>
              <w:rPr>
                <w:rFonts w:hint="default"/>
              </w:rPr>
            </w:pPr>
            <w:r>
              <w:rPr>
                <w:rFonts w:hint="default"/>
              </w:rPr>
              <w:t>浑江</w:t>
            </w:r>
          </w:p>
        </w:tc>
        <w:tc>
          <w:tcPr>
            <w:tcW w:w="1623" w:type="pct"/>
            <w:noWrap w:val="0"/>
            <w:tcMar>
              <w:top w:w="6" w:type="dxa"/>
              <w:left w:w="6" w:type="dxa"/>
              <w:bottom w:w="0" w:type="dxa"/>
              <w:right w:w="6" w:type="dxa"/>
            </w:tcMar>
            <w:vAlign w:val="center"/>
          </w:tcPr>
          <w:p w14:paraId="626F8CBB">
            <w:pPr>
              <w:pStyle w:val="17"/>
              <w:bidi w:val="0"/>
              <w:rPr>
                <w:rFonts w:hint="default"/>
              </w:rPr>
            </w:pPr>
            <w:r>
              <w:rPr>
                <w:rFonts w:hint="default"/>
              </w:rPr>
              <w:t>水环境：西村断面为地表水国控断面，“十三五”期间目标水质为III类，其中2015年水质状况为III类，2017-2019年为年均为III类，达到III类要求。</w:t>
            </w:r>
          </w:p>
          <w:p w14:paraId="162A6B40">
            <w:pPr>
              <w:pStyle w:val="17"/>
              <w:bidi w:val="0"/>
              <w:rPr>
                <w:rFonts w:hint="default"/>
              </w:rPr>
            </w:pPr>
            <w:r>
              <w:rPr>
                <w:rFonts w:hint="default"/>
              </w:rPr>
              <w:t>2017年1月份高锰酸盐指数为8.31mg/L，未达到III类水要求，超标倍数为0.39；2016年6、10、11、12月和2017年1月份的化学需氧量21.01、25.31、21.61、24.63、27.6mg/L，未达到III类水要求，超标倍数为0.05、0.27、0.08、0.23、0.38。</w:t>
            </w:r>
          </w:p>
        </w:tc>
        <w:tc>
          <w:tcPr>
            <w:tcW w:w="710" w:type="pct"/>
            <w:noWrap w:val="0"/>
            <w:tcMar>
              <w:top w:w="6" w:type="dxa"/>
              <w:left w:w="6" w:type="dxa"/>
              <w:bottom w:w="0" w:type="dxa"/>
              <w:right w:w="6" w:type="dxa"/>
            </w:tcMar>
            <w:vAlign w:val="center"/>
          </w:tcPr>
          <w:p w14:paraId="2D5489B2">
            <w:pPr>
              <w:pStyle w:val="17"/>
              <w:bidi w:val="0"/>
              <w:rPr>
                <w:rFonts w:hint="default"/>
              </w:rPr>
            </w:pPr>
            <w:r>
              <w:rPr>
                <w:rFonts w:hint="default"/>
              </w:rPr>
              <w:t>水环境：控制断面水质不能稳定达标</w:t>
            </w:r>
          </w:p>
        </w:tc>
        <w:tc>
          <w:tcPr>
            <w:tcW w:w="0" w:type="auto"/>
            <w:noWrap w:val="0"/>
            <w:tcMar>
              <w:top w:w="6" w:type="dxa"/>
              <w:left w:w="6" w:type="dxa"/>
              <w:bottom w:w="0" w:type="dxa"/>
              <w:right w:w="6" w:type="dxa"/>
            </w:tcMar>
            <w:vAlign w:val="center"/>
          </w:tcPr>
          <w:p w14:paraId="77B38224">
            <w:pPr>
              <w:pStyle w:val="17"/>
              <w:bidi w:val="0"/>
              <w:rPr>
                <w:rFonts w:hint="default"/>
              </w:rPr>
            </w:pPr>
            <w:r>
              <w:rPr>
                <w:rFonts w:hint="default"/>
              </w:rPr>
              <w:t>①雨污分流管网建设不到位；存在管网漏失情况；城镇污水处理厂进水浓度低，影响污染物去除效果。乡镇污水处理基础设施建设不完善，部分乡镇污水处理设施尚未建完。</w:t>
            </w:r>
            <w:r>
              <w:rPr>
                <w:rFonts w:hint="default"/>
              </w:rPr>
              <w:fldChar w:fldCharType="begin"/>
            </w:r>
            <w:r>
              <w:rPr>
                <w:rFonts w:hint="default"/>
              </w:rPr>
              <w:instrText xml:space="preserve"> = 2 \* GB3 </w:instrText>
            </w:r>
            <w:r>
              <w:rPr>
                <w:rFonts w:hint="default"/>
              </w:rPr>
              <w:fldChar w:fldCharType="separate"/>
            </w:r>
            <w:r>
              <w:rPr>
                <w:rFonts w:hint="default"/>
              </w:rPr>
              <w:t>②</w:t>
            </w:r>
            <w:r>
              <w:rPr>
                <w:rFonts w:hint="default"/>
              </w:rPr>
              <w:fldChar w:fldCharType="end"/>
            </w:r>
            <w:r>
              <w:rPr>
                <w:rFonts w:hint="default"/>
              </w:rPr>
              <w:t>西村汇水范围内部分农村河流存在农业农村生活源污染，河流汇入浑江，影响西村断面水质。西村断面水质浑江干流及支流沿岸分布较多农田，种植经济作物存在农药化肥施用情况，雨水冲刷导致耕地土壤随雨水入河，存在农药化肥施用等农业面源污染风险。③乡镇及建制村缺乏生活污水收集处理设施，管网建设不完善</w:t>
            </w:r>
          </w:p>
        </w:tc>
      </w:tr>
      <w:tr w14:paraId="72D65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408" w:type="pct"/>
            <w:vMerge w:val="continue"/>
            <w:noWrap w:val="0"/>
            <w:tcMar>
              <w:top w:w="6" w:type="dxa"/>
              <w:left w:w="6" w:type="dxa"/>
              <w:bottom w:w="0" w:type="dxa"/>
              <w:right w:w="6" w:type="dxa"/>
            </w:tcMar>
            <w:vAlign w:val="center"/>
          </w:tcPr>
          <w:p w14:paraId="20B24DA4">
            <w:pPr>
              <w:pStyle w:val="17"/>
              <w:bidi w:val="0"/>
              <w:rPr>
                <w:rFonts w:hint="default"/>
              </w:rPr>
            </w:pPr>
          </w:p>
        </w:tc>
        <w:tc>
          <w:tcPr>
            <w:tcW w:w="457" w:type="pct"/>
            <w:vMerge w:val="continue"/>
            <w:noWrap w:val="0"/>
            <w:tcMar>
              <w:top w:w="6" w:type="dxa"/>
              <w:left w:w="6" w:type="dxa"/>
              <w:bottom w:w="0" w:type="dxa"/>
              <w:right w:w="6" w:type="dxa"/>
            </w:tcMar>
            <w:vAlign w:val="center"/>
          </w:tcPr>
          <w:p w14:paraId="403C411B">
            <w:pPr>
              <w:pStyle w:val="17"/>
              <w:bidi w:val="0"/>
              <w:rPr>
                <w:rFonts w:hint="default"/>
              </w:rPr>
            </w:pPr>
          </w:p>
        </w:tc>
        <w:tc>
          <w:tcPr>
            <w:tcW w:w="457" w:type="pct"/>
            <w:vMerge w:val="continue"/>
            <w:noWrap w:val="0"/>
            <w:tcMar>
              <w:top w:w="6" w:type="dxa"/>
              <w:left w:w="6" w:type="dxa"/>
              <w:bottom w:w="0" w:type="dxa"/>
              <w:right w:w="6" w:type="dxa"/>
            </w:tcMar>
            <w:vAlign w:val="center"/>
          </w:tcPr>
          <w:p w14:paraId="65507093">
            <w:pPr>
              <w:pStyle w:val="17"/>
              <w:bidi w:val="0"/>
              <w:rPr>
                <w:rFonts w:hint="default"/>
              </w:rPr>
            </w:pPr>
          </w:p>
        </w:tc>
        <w:tc>
          <w:tcPr>
            <w:tcW w:w="1623" w:type="pct"/>
            <w:noWrap w:val="0"/>
            <w:tcMar>
              <w:top w:w="6" w:type="dxa"/>
              <w:left w:w="6" w:type="dxa"/>
              <w:bottom w:w="0" w:type="dxa"/>
              <w:right w:w="6" w:type="dxa"/>
            </w:tcMar>
            <w:vAlign w:val="center"/>
          </w:tcPr>
          <w:p w14:paraId="43C8A80D">
            <w:pPr>
              <w:pStyle w:val="17"/>
              <w:bidi w:val="0"/>
              <w:rPr>
                <w:rFonts w:hint="default"/>
              </w:rPr>
            </w:pPr>
            <w:r>
              <w:rPr>
                <w:rFonts w:hint="default"/>
              </w:rPr>
              <w:t>水风险：尾矿库中涉及江源区的有6家，其中1处在用，部分尾矿库仍未进行建立三级防控体系，未按要求开展尾矿库环境应急演练，没有应急防控等措施，存在一定的累积性风险。区内部分矿山及取土场生态尚未恢复，会加剧水土流失，对水生态带来风险</w:t>
            </w:r>
          </w:p>
        </w:tc>
        <w:tc>
          <w:tcPr>
            <w:tcW w:w="710" w:type="pct"/>
            <w:noWrap w:val="0"/>
            <w:tcMar>
              <w:top w:w="6" w:type="dxa"/>
              <w:left w:w="6" w:type="dxa"/>
              <w:bottom w:w="0" w:type="dxa"/>
              <w:right w:w="6" w:type="dxa"/>
            </w:tcMar>
            <w:vAlign w:val="center"/>
          </w:tcPr>
          <w:p w14:paraId="2580B977">
            <w:pPr>
              <w:pStyle w:val="17"/>
              <w:bidi w:val="0"/>
              <w:rPr>
                <w:rFonts w:hint="default"/>
              </w:rPr>
            </w:pPr>
            <w:r>
              <w:rPr>
                <w:rFonts w:hint="default"/>
              </w:rPr>
              <w:t>问题：部分尾矿库仍未进行建立三级防控体系，未按要求开展尾矿库环境应急演练，没有应急防控等措施</w:t>
            </w:r>
          </w:p>
        </w:tc>
        <w:tc>
          <w:tcPr>
            <w:tcW w:w="1345" w:type="pct"/>
            <w:noWrap w:val="0"/>
            <w:tcMar>
              <w:top w:w="6" w:type="dxa"/>
              <w:left w:w="6" w:type="dxa"/>
              <w:bottom w:w="0" w:type="dxa"/>
              <w:right w:w="6" w:type="dxa"/>
            </w:tcMar>
            <w:vAlign w:val="center"/>
          </w:tcPr>
          <w:p w14:paraId="359148C0">
            <w:pPr>
              <w:pStyle w:val="17"/>
              <w:bidi w:val="0"/>
              <w:rPr>
                <w:rFonts w:hint="default"/>
              </w:rPr>
            </w:pPr>
            <w:r>
              <w:rPr>
                <w:rFonts w:hint="default"/>
              </w:rPr>
              <w:t>部分尾矿库仍未进行建立三级防控体系，未按要求开展尾矿库环境应急演练，没有应急防控等措施</w:t>
            </w:r>
          </w:p>
        </w:tc>
      </w:tr>
      <w:tr w14:paraId="318DE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408" w:type="pct"/>
            <w:vMerge w:val="continue"/>
            <w:noWrap w:val="0"/>
            <w:tcMar>
              <w:top w:w="6" w:type="dxa"/>
              <w:left w:w="6" w:type="dxa"/>
              <w:bottom w:w="0" w:type="dxa"/>
              <w:right w:w="6" w:type="dxa"/>
            </w:tcMar>
            <w:vAlign w:val="center"/>
          </w:tcPr>
          <w:p w14:paraId="33FC2438">
            <w:pPr>
              <w:pStyle w:val="17"/>
              <w:bidi w:val="0"/>
              <w:rPr>
                <w:rFonts w:hint="default"/>
              </w:rPr>
            </w:pPr>
          </w:p>
        </w:tc>
        <w:tc>
          <w:tcPr>
            <w:tcW w:w="457" w:type="pct"/>
            <w:vMerge w:val="continue"/>
            <w:noWrap w:val="0"/>
            <w:tcMar>
              <w:top w:w="6" w:type="dxa"/>
              <w:left w:w="6" w:type="dxa"/>
              <w:bottom w:w="0" w:type="dxa"/>
              <w:right w:w="6" w:type="dxa"/>
            </w:tcMar>
            <w:vAlign w:val="center"/>
          </w:tcPr>
          <w:p w14:paraId="082B96BF">
            <w:pPr>
              <w:pStyle w:val="17"/>
              <w:bidi w:val="0"/>
              <w:rPr>
                <w:rFonts w:hint="default"/>
              </w:rPr>
            </w:pPr>
          </w:p>
        </w:tc>
        <w:tc>
          <w:tcPr>
            <w:tcW w:w="457" w:type="pct"/>
            <w:vMerge w:val="continue"/>
            <w:noWrap w:val="0"/>
            <w:tcMar>
              <w:top w:w="6" w:type="dxa"/>
              <w:left w:w="6" w:type="dxa"/>
              <w:bottom w:w="0" w:type="dxa"/>
              <w:right w:w="6" w:type="dxa"/>
            </w:tcMar>
            <w:vAlign w:val="center"/>
          </w:tcPr>
          <w:p w14:paraId="50D5828A">
            <w:pPr>
              <w:pStyle w:val="17"/>
              <w:bidi w:val="0"/>
              <w:rPr>
                <w:rFonts w:hint="default"/>
              </w:rPr>
            </w:pPr>
          </w:p>
        </w:tc>
        <w:tc>
          <w:tcPr>
            <w:tcW w:w="1623" w:type="pct"/>
            <w:noWrap w:val="0"/>
            <w:tcMar>
              <w:top w:w="6" w:type="dxa"/>
              <w:left w:w="6" w:type="dxa"/>
              <w:bottom w:w="0" w:type="dxa"/>
              <w:right w:w="6" w:type="dxa"/>
            </w:tcMar>
            <w:vAlign w:val="center"/>
          </w:tcPr>
          <w:p w14:paraId="2092430F">
            <w:pPr>
              <w:pStyle w:val="17"/>
              <w:bidi w:val="0"/>
              <w:rPr>
                <w:rFonts w:hint="default"/>
              </w:rPr>
            </w:pPr>
            <w:r>
              <w:rPr>
                <w:rFonts w:hint="default"/>
              </w:rPr>
              <w:t>水生态：江源区目前无省级及国家级湿地公园及湿地保护区。白山市水生昆虫共166种，隶属于7目40科86属。其中浑江有48种。土著鱼种9种，其中1种于1990年消失，其他多数不在江源区，浑江江源区所在区主要花在父鱼。矿山及取土场生态尚未恢复，会加剧水土流失，对水生态带来风险</w:t>
            </w:r>
          </w:p>
        </w:tc>
        <w:tc>
          <w:tcPr>
            <w:tcW w:w="710" w:type="pct"/>
            <w:noWrap w:val="0"/>
            <w:tcMar>
              <w:top w:w="6" w:type="dxa"/>
              <w:left w:w="6" w:type="dxa"/>
              <w:bottom w:w="0" w:type="dxa"/>
              <w:right w:w="6" w:type="dxa"/>
            </w:tcMar>
            <w:vAlign w:val="center"/>
          </w:tcPr>
          <w:p w14:paraId="7E7C1E98">
            <w:pPr>
              <w:pStyle w:val="17"/>
              <w:bidi w:val="0"/>
              <w:rPr>
                <w:rFonts w:hint="default"/>
              </w:rPr>
            </w:pPr>
            <w:r>
              <w:rPr>
                <w:rFonts w:hint="default"/>
              </w:rPr>
              <w:t>水生态：土著鱼的群体结构和种群密度有所下降。</w:t>
            </w:r>
          </w:p>
        </w:tc>
        <w:tc>
          <w:tcPr>
            <w:tcW w:w="1345" w:type="pct"/>
            <w:noWrap w:val="0"/>
            <w:tcMar>
              <w:top w:w="6" w:type="dxa"/>
              <w:left w:w="6" w:type="dxa"/>
              <w:bottom w:w="0" w:type="dxa"/>
              <w:right w:w="6" w:type="dxa"/>
            </w:tcMar>
            <w:vAlign w:val="center"/>
          </w:tcPr>
          <w:p w14:paraId="32EF9614">
            <w:pPr>
              <w:pStyle w:val="17"/>
              <w:bidi w:val="0"/>
              <w:rPr>
                <w:rFonts w:hint="default"/>
              </w:rPr>
            </w:pPr>
            <w:r>
              <w:rPr>
                <w:rFonts w:hint="default"/>
              </w:rPr>
              <w:t>矿山及取土场生态尚未恢复，会加剧水土流失，对水生态带来风险</w:t>
            </w:r>
          </w:p>
          <w:p w14:paraId="1E3B6DCD">
            <w:pPr>
              <w:pStyle w:val="17"/>
              <w:bidi w:val="0"/>
              <w:rPr>
                <w:rFonts w:hint="eastAsia" w:eastAsia="宋体"/>
                <w:lang w:eastAsia="zh-CN"/>
              </w:rPr>
            </w:pPr>
          </w:p>
        </w:tc>
      </w:tr>
      <w:tr w14:paraId="117F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408" w:type="pct"/>
            <w:vMerge w:val="restart"/>
            <w:noWrap w:val="0"/>
            <w:tcMar>
              <w:top w:w="6" w:type="dxa"/>
              <w:left w:w="6" w:type="dxa"/>
              <w:bottom w:w="0" w:type="dxa"/>
              <w:right w:w="6" w:type="dxa"/>
            </w:tcMar>
            <w:vAlign w:val="center"/>
          </w:tcPr>
          <w:p w14:paraId="6E7D68EE">
            <w:pPr>
              <w:pStyle w:val="17"/>
              <w:bidi w:val="0"/>
              <w:rPr>
                <w:rFonts w:hint="eastAsia" w:eastAsia="宋体"/>
                <w:lang w:eastAsia="zh-CN"/>
              </w:rPr>
            </w:pPr>
            <w:r>
              <w:rPr>
                <w:rFonts w:hint="default"/>
              </w:rPr>
              <w:t>松花江</w:t>
            </w:r>
            <w:r>
              <w:rPr>
                <w:rFonts w:hint="eastAsia"/>
                <w:lang w:val="en-US" w:eastAsia="zh-CN"/>
              </w:rPr>
              <w:t>水系</w:t>
            </w:r>
          </w:p>
        </w:tc>
        <w:tc>
          <w:tcPr>
            <w:tcW w:w="457" w:type="pct"/>
            <w:vMerge w:val="restart"/>
            <w:noWrap w:val="0"/>
            <w:tcMar>
              <w:top w:w="6" w:type="dxa"/>
              <w:left w:w="6" w:type="dxa"/>
              <w:bottom w:w="0" w:type="dxa"/>
              <w:right w:w="6" w:type="dxa"/>
            </w:tcMar>
            <w:vAlign w:val="center"/>
          </w:tcPr>
          <w:p w14:paraId="24A2F89E">
            <w:pPr>
              <w:pStyle w:val="17"/>
              <w:bidi w:val="0"/>
              <w:rPr>
                <w:rFonts w:hint="default"/>
              </w:rPr>
            </w:pPr>
            <w:r>
              <w:rPr>
                <w:rFonts w:hint="default"/>
              </w:rPr>
              <w:t>参乡一号桥控制单元</w:t>
            </w:r>
          </w:p>
        </w:tc>
        <w:tc>
          <w:tcPr>
            <w:tcW w:w="457" w:type="pct"/>
            <w:vMerge w:val="restart"/>
            <w:noWrap w:val="0"/>
            <w:tcMar>
              <w:top w:w="6" w:type="dxa"/>
              <w:left w:w="6" w:type="dxa"/>
              <w:bottom w:w="0" w:type="dxa"/>
              <w:right w:w="6" w:type="dxa"/>
            </w:tcMar>
            <w:vAlign w:val="center"/>
          </w:tcPr>
          <w:p w14:paraId="6F92AD2F">
            <w:pPr>
              <w:pStyle w:val="17"/>
              <w:bidi w:val="0"/>
              <w:rPr>
                <w:rFonts w:hint="default"/>
              </w:rPr>
            </w:pPr>
            <w:r>
              <w:rPr>
                <w:rFonts w:hint="default"/>
              </w:rPr>
              <w:t>汤河</w:t>
            </w:r>
          </w:p>
        </w:tc>
        <w:tc>
          <w:tcPr>
            <w:tcW w:w="1623" w:type="pct"/>
            <w:noWrap w:val="0"/>
            <w:tcMar>
              <w:top w:w="6" w:type="dxa"/>
              <w:left w:w="6" w:type="dxa"/>
              <w:bottom w:w="0" w:type="dxa"/>
              <w:right w:w="6" w:type="dxa"/>
            </w:tcMar>
            <w:vAlign w:val="center"/>
          </w:tcPr>
          <w:p w14:paraId="51A85C2E">
            <w:pPr>
              <w:pStyle w:val="17"/>
              <w:bidi w:val="0"/>
              <w:rPr>
                <w:rFonts w:hint="default"/>
              </w:rPr>
            </w:pPr>
            <w:r>
              <w:rPr>
                <w:rFonts w:hint="default"/>
              </w:rPr>
              <w:t>水环境：参乡一号桥断面连续4年达到Ⅱ类标准,2020年达到III类，氨氮超过II类0.06倍</w:t>
            </w:r>
          </w:p>
        </w:tc>
        <w:tc>
          <w:tcPr>
            <w:tcW w:w="710" w:type="pct"/>
            <w:noWrap w:val="0"/>
            <w:tcMar>
              <w:top w:w="6" w:type="dxa"/>
              <w:left w:w="6" w:type="dxa"/>
              <w:bottom w:w="0" w:type="dxa"/>
              <w:right w:w="6" w:type="dxa"/>
            </w:tcMar>
            <w:vAlign w:val="center"/>
          </w:tcPr>
          <w:p w14:paraId="7F405541">
            <w:pPr>
              <w:pStyle w:val="17"/>
              <w:bidi w:val="0"/>
              <w:rPr>
                <w:rFonts w:hint="default"/>
              </w:rPr>
            </w:pPr>
            <w:r>
              <w:rPr>
                <w:rFonts w:hint="default"/>
              </w:rPr>
              <w:t>水环境：控制断面水质不能稳定达标</w:t>
            </w:r>
          </w:p>
        </w:tc>
        <w:tc>
          <w:tcPr>
            <w:tcW w:w="1345" w:type="pct"/>
            <w:noWrap w:val="0"/>
            <w:tcMar>
              <w:top w:w="6" w:type="dxa"/>
              <w:left w:w="6" w:type="dxa"/>
              <w:bottom w:w="0" w:type="dxa"/>
              <w:right w:w="6" w:type="dxa"/>
            </w:tcMar>
            <w:vAlign w:val="center"/>
          </w:tcPr>
          <w:p w14:paraId="1985B03A">
            <w:pPr>
              <w:pStyle w:val="17"/>
              <w:bidi w:val="0"/>
              <w:rPr>
                <w:rFonts w:hint="default"/>
              </w:rPr>
            </w:pPr>
            <w:r>
              <w:rPr>
                <w:rFonts w:hint="default"/>
              </w:rPr>
              <w:t>①参乡一号桥汇水范围内包括江源区湾沟镇、松树镇2个镇，共有建制村16个，乡镇缺乏生活污水收集处理设施，管网建设不完善。②流域内存在村屯及耕地，目前，沿汤河及其支流村镇周围存在一定量耕地，农药化肥施用，存在农业面源污染。</w:t>
            </w:r>
          </w:p>
        </w:tc>
      </w:tr>
      <w:tr w14:paraId="6D08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408" w:type="pct"/>
            <w:vMerge w:val="continue"/>
            <w:noWrap w:val="0"/>
            <w:tcMar>
              <w:top w:w="6" w:type="dxa"/>
              <w:left w:w="6" w:type="dxa"/>
              <w:bottom w:w="0" w:type="dxa"/>
              <w:right w:w="6" w:type="dxa"/>
            </w:tcMar>
            <w:vAlign w:val="center"/>
          </w:tcPr>
          <w:p w14:paraId="48D4A77E">
            <w:pPr>
              <w:pStyle w:val="17"/>
              <w:bidi w:val="0"/>
              <w:rPr>
                <w:rFonts w:hint="default"/>
              </w:rPr>
            </w:pPr>
          </w:p>
        </w:tc>
        <w:tc>
          <w:tcPr>
            <w:tcW w:w="457" w:type="pct"/>
            <w:vMerge w:val="continue"/>
            <w:noWrap w:val="0"/>
            <w:tcMar>
              <w:top w:w="6" w:type="dxa"/>
              <w:left w:w="6" w:type="dxa"/>
              <w:bottom w:w="0" w:type="dxa"/>
              <w:right w:w="6" w:type="dxa"/>
            </w:tcMar>
            <w:vAlign w:val="center"/>
          </w:tcPr>
          <w:p w14:paraId="38B5F432">
            <w:pPr>
              <w:pStyle w:val="17"/>
              <w:bidi w:val="0"/>
              <w:rPr>
                <w:rFonts w:hint="default"/>
              </w:rPr>
            </w:pPr>
          </w:p>
        </w:tc>
        <w:tc>
          <w:tcPr>
            <w:tcW w:w="457" w:type="pct"/>
            <w:vMerge w:val="continue"/>
            <w:noWrap w:val="0"/>
            <w:tcMar>
              <w:top w:w="6" w:type="dxa"/>
              <w:left w:w="6" w:type="dxa"/>
              <w:bottom w:w="0" w:type="dxa"/>
              <w:right w:w="6" w:type="dxa"/>
            </w:tcMar>
            <w:vAlign w:val="center"/>
          </w:tcPr>
          <w:p w14:paraId="5B83A6BC">
            <w:pPr>
              <w:pStyle w:val="17"/>
              <w:bidi w:val="0"/>
              <w:rPr>
                <w:rFonts w:hint="default"/>
              </w:rPr>
            </w:pPr>
          </w:p>
        </w:tc>
        <w:tc>
          <w:tcPr>
            <w:tcW w:w="1623" w:type="pct"/>
            <w:noWrap w:val="0"/>
            <w:tcMar>
              <w:top w:w="6" w:type="dxa"/>
              <w:left w:w="6" w:type="dxa"/>
              <w:bottom w:w="0" w:type="dxa"/>
              <w:right w:w="6" w:type="dxa"/>
            </w:tcMar>
            <w:vAlign w:val="center"/>
          </w:tcPr>
          <w:p w14:paraId="495E0F4F">
            <w:pPr>
              <w:pStyle w:val="17"/>
              <w:bidi w:val="0"/>
              <w:rPr>
                <w:rFonts w:hint="default"/>
              </w:rPr>
            </w:pPr>
            <w:r>
              <w:rPr>
                <w:rFonts w:hint="default"/>
              </w:rPr>
              <w:t>水风险：此区域无集中式地表水水源地，无尾矿库</w:t>
            </w:r>
          </w:p>
        </w:tc>
        <w:tc>
          <w:tcPr>
            <w:tcW w:w="710" w:type="pct"/>
            <w:noWrap w:val="0"/>
            <w:tcMar>
              <w:top w:w="6" w:type="dxa"/>
              <w:left w:w="6" w:type="dxa"/>
              <w:bottom w:w="0" w:type="dxa"/>
              <w:right w:w="6" w:type="dxa"/>
            </w:tcMar>
            <w:vAlign w:val="center"/>
          </w:tcPr>
          <w:p w14:paraId="5E00750A">
            <w:pPr>
              <w:pStyle w:val="17"/>
              <w:bidi w:val="0"/>
              <w:rPr>
                <w:rFonts w:hint="default"/>
              </w:rPr>
            </w:pPr>
          </w:p>
        </w:tc>
        <w:tc>
          <w:tcPr>
            <w:tcW w:w="1345" w:type="pct"/>
            <w:noWrap w:val="0"/>
            <w:tcMar>
              <w:top w:w="6" w:type="dxa"/>
              <w:left w:w="6" w:type="dxa"/>
              <w:bottom w:w="0" w:type="dxa"/>
              <w:right w:w="6" w:type="dxa"/>
            </w:tcMar>
            <w:vAlign w:val="center"/>
          </w:tcPr>
          <w:p w14:paraId="47ACB7F2">
            <w:pPr>
              <w:pStyle w:val="17"/>
              <w:bidi w:val="0"/>
              <w:rPr>
                <w:rFonts w:hint="default"/>
              </w:rPr>
            </w:pPr>
          </w:p>
        </w:tc>
      </w:tr>
      <w:tr w14:paraId="780C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408" w:type="pct"/>
            <w:vMerge w:val="continue"/>
            <w:noWrap w:val="0"/>
            <w:tcMar>
              <w:top w:w="6" w:type="dxa"/>
              <w:left w:w="6" w:type="dxa"/>
              <w:bottom w:w="0" w:type="dxa"/>
              <w:right w:w="6" w:type="dxa"/>
            </w:tcMar>
            <w:vAlign w:val="center"/>
          </w:tcPr>
          <w:p w14:paraId="2F1692D5">
            <w:pPr>
              <w:pStyle w:val="17"/>
              <w:bidi w:val="0"/>
              <w:rPr>
                <w:rFonts w:hint="default"/>
              </w:rPr>
            </w:pPr>
          </w:p>
        </w:tc>
        <w:tc>
          <w:tcPr>
            <w:tcW w:w="457" w:type="pct"/>
            <w:vMerge w:val="continue"/>
            <w:noWrap w:val="0"/>
            <w:tcMar>
              <w:top w:w="6" w:type="dxa"/>
              <w:left w:w="6" w:type="dxa"/>
              <w:bottom w:w="0" w:type="dxa"/>
              <w:right w:w="6" w:type="dxa"/>
            </w:tcMar>
            <w:vAlign w:val="center"/>
          </w:tcPr>
          <w:p w14:paraId="2ECA4939">
            <w:pPr>
              <w:pStyle w:val="17"/>
              <w:bidi w:val="0"/>
              <w:rPr>
                <w:rFonts w:hint="default"/>
              </w:rPr>
            </w:pPr>
          </w:p>
        </w:tc>
        <w:tc>
          <w:tcPr>
            <w:tcW w:w="457" w:type="pct"/>
            <w:vMerge w:val="continue"/>
            <w:noWrap w:val="0"/>
            <w:tcMar>
              <w:top w:w="6" w:type="dxa"/>
              <w:left w:w="6" w:type="dxa"/>
              <w:bottom w:w="0" w:type="dxa"/>
              <w:right w:w="6" w:type="dxa"/>
            </w:tcMar>
            <w:vAlign w:val="center"/>
          </w:tcPr>
          <w:p w14:paraId="53A599EE">
            <w:pPr>
              <w:pStyle w:val="17"/>
              <w:bidi w:val="0"/>
              <w:rPr>
                <w:rFonts w:hint="default"/>
              </w:rPr>
            </w:pPr>
          </w:p>
        </w:tc>
        <w:tc>
          <w:tcPr>
            <w:tcW w:w="1623" w:type="pct"/>
            <w:noWrap w:val="0"/>
            <w:tcMar>
              <w:top w:w="6" w:type="dxa"/>
              <w:left w:w="6" w:type="dxa"/>
              <w:bottom w:w="0" w:type="dxa"/>
              <w:right w:w="6" w:type="dxa"/>
            </w:tcMar>
            <w:vAlign w:val="center"/>
          </w:tcPr>
          <w:p w14:paraId="6D4E10CB">
            <w:pPr>
              <w:pStyle w:val="17"/>
              <w:bidi w:val="0"/>
              <w:rPr>
                <w:rFonts w:hint="default"/>
              </w:rPr>
            </w:pPr>
            <w:r>
              <w:rPr>
                <w:rFonts w:hint="default"/>
              </w:rPr>
              <w:t>水生态：江源区目前无省级及国家级湿地公园及湿地保护区。白山市水生昆虫共166种，隶属于7目40科86属。其中浑江有48种。土著鱼种9种，其中1种于1990年消失，其他多数不在江源区，汤河流域偶见柳根鱼、细鳞鲑鱼区内部分矿山及取土场生态尚未恢复，会加剧水土流失，对水生态带来风险</w:t>
            </w:r>
          </w:p>
        </w:tc>
        <w:tc>
          <w:tcPr>
            <w:tcW w:w="710" w:type="pct"/>
            <w:noWrap w:val="0"/>
            <w:tcMar>
              <w:top w:w="6" w:type="dxa"/>
              <w:left w:w="6" w:type="dxa"/>
              <w:bottom w:w="0" w:type="dxa"/>
              <w:right w:w="6" w:type="dxa"/>
            </w:tcMar>
            <w:vAlign w:val="center"/>
          </w:tcPr>
          <w:p w14:paraId="09C9876B">
            <w:pPr>
              <w:pStyle w:val="17"/>
              <w:bidi w:val="0"/>
              <w:rPr>
                <w:rFonts w:hint="default"/>
              </w:rPr>
            </w:pPr>
            <w:r>
              <w:rPr>
                <w:rFonts w:hint="default"/>
              </w:rPr>
              <w:t>水生态：土著鱼的群体结构和种群密度有所下降。</w:t>
            </w:r>
            <w:r>
              <w:rPr>
                <w:rFonts w:hint="default"/>
                <w:color w:val="0000FF"/>
              </w:rPr>
              <w:t>生态缓冲功能弱；</w:t>
            </w:r>
            <w:r>
              <w:rPr>
                <w:rFonts w:hint="eastAsia" w:ascii="Times New Roman" w:hAnsi="Times New Roman" w:cs="Times New Roman"/>
                <w:color w:val="0000FF"/>
                <w:lang w:eastAsia="zh-CN"/>
              </w:rPr>
              <w:t>汤河流域存在面源污染问题</w:t>
            </w:r>
          </w:p>
        </w:tc>
        <w:tc>
          <w:tcPr>
            <w:tcW w:w="1345" w:type="pct"/>
            <w:noWrap w:val="0"/>
            <w:tcMar>
              <w:top w:w="6" w:type="dxa"/>
              <w:left w:w="6" w:type="dxa"/>
              <w:bottom w:w="0" w:type="dxa"/>
              <w:right w:w="6" w:type="dxa"/>
            </w:tcMar>
            <w:vAlign w:val="center"/>
          </w:tcPr>
          <w:p w14:paraId="3BA49CEA">
            <w:pPr>
              <w:pStyle w:val="17"/>
              <w:bidi w:val="0"/>
              <w:rPr>
                <w:rFonts w:hint="default"/>
              </w:rPr>
            </w:pPr>
            <w:r>
              <w:rPr>
                <w:rFonts w:hint="default"/>
              </w:rPr>
              <w:t>矿山及取土场生态尚未恢复，会加剧水土流失，对水生态带来风险</w:t>
            </w:r>
          </w:p>
          <w:p w14:paraId="135CF694">
            <w:pPr>
              <w:pStyle w:val="17"/>
              <w:bidi w:val="0"/>
              <w:rPr>
                <w:rFonts w:hint="default"/>
              </w:rPr>
            </w:pPr>
            <w:r>
              <w:rPr>
                <w:rFonts w:hint="default"/>
                <w:color w:val="0000FF"/>
              </w:rPr>
              <w:t>汤河河道管理范围存在农田占用</w:t>
            </w:r>
            <w:r>
              <w:rPr>
                <w:rFonts w:hint="eastAsia"/>
                <w:color w:val="0000FF"/>
                <w:lang w:eastAsia="zh-CN"/>
              </w:rPr>
              <w:t>。</w:t>
            </w:r>
          </w:p>
        </w:tc>
      </w:tr>
    </w:tbl>
    <w:p w14:paraId="449A4B88">
      <w:pPr>
        <w:kinsoku/>
        <w:wordWrap/>
        <w:topLinePunct w:val="0"/>
        <w:autoSpaceDE/>
        <w:autoSpaceDN/>
        <w:bidi w:val="0"/>
        <w:adjustRightInd/>
        <w:snapToGrid/>
        <w:spacing w:line="360" w:lineRule="auto"/>
        <w:ind w:firstLine="641"/>
        <w:textAlignment w:val="auto"/>
        <w:rPr>
          <w:rFonts w:hint="default" w:ascii="Times New Roman" w:hAnsi="Times New Roman" w:eastAsia="宋体" w:cs="Times New Roman"/>
          <w:color w:val="auto"/>
          <w:sz w:val="24"/>
          <w:szCs w:val="24"/>
        </w:rPr>
      </w:pPr>
    </w:p>
    <w:p w14:paraId="52DE34F6">
      <w:pPr>
        <w:pStyle w:val="2"/>
        <w:kinsoku/>
        <w:wordWrap/>
        <w:topLinePunct w:val="0"/>
        <w:autoSpaceDE/>
        <w:autoSpaceDN/>
        <w:bidi w:val="0"/>
        <w:adjustRightInd/>
        <w:snapToGrid/>
        <w:textAlignment w:val="auto"/>
        <w:rPr>
          <w:rFonts w:hint="default" w:ascii="Times New Roman" w:hAnsi="Times New Roman" w:cs="Times New Roman"/>
        </w:rPr>
        <w:sectPr>
          <w:footerReference r:id="rId14" w:type="default"/>
          <w:pgSz w:w="11906" w:h="16838"/>
          <w:pgMar w:top="1440" w:right="1800" w:bottom="1440" w:left="1800" w:header="851" w:footer="992" w:gutter="0"/>
          <w:pgNumType w:fmt="numberInDash"/>
          <w:cols w:space="0" w:num="1"/>
          <w:rtlGutter w:val="0"/>
          <w:docGrid w:type="lines" w:linePitch="332" w:charSpace="0"/>
        </w:sectPr>
      </w:pPr>
    </w:p>
    <w:bookmarkEnd w:id="2"/>
    <w:p w14:paraId="11723419">
      <w:pPr>
        <w:pStyle w:val="2"/>
        <w:kinsoku/>
        <w:wordWrap/>
        <w:topLinePunct w:val="0"/>
        <w:autoSpaceDE/>
        <w:autoSpaceDN/>
        <w:bidi w:val="0"/>
        <w:adjustRightInd/>
        <w:snapToGrid/>
        <w:textAlignment w:val="auto"/>
        <w:rPr>
          <w:rFonts w:hint="default" w:ascii="Times New Roman" w:hAnsi="Times New Roman" w:cs="Times New Roman"/>
        </w:rPr>
      </w:pPr>
      <w:bookmarkStart w:id="60" w:name="_Toc16752"/>
      <w:r>
        <w:rPr>
          <w:rFonts w:hint="eastAsia" w:cs="Times New Roman"/>
          <w:lang w:val="en-US" w:eastAsia="zh-CN"/>
        </w:rPr>
        <w:t>总体要求</w:t>
      </w:r>
      <w:bookmarkEnd w:id="60"/>
    </w:p>
    <w:p w14:paraId="3D3B59D8">
      <w:pPr>
        <w:pStyle w:val="3"/>
        <w:kinsoku/>
        <w:wordWrap/>
        <w:topLinePunct w:val="0"/>
        <w:autoSpaceDE/>
        <w:autoSpaceDN/>
        <w:bidi w:val="0"/>
        <w:adjustRightInd/>
        <w:snapToGrid/>
        <w:textAlignment w:val="auto"/>
        <w:rPr>
          <w:rFonts w:hint="default" w:ascii="Times New Roman" w:hAnsi="Times New Roman" w:cs="Times New Roman"/>
        </w:rPr>
      </w:pPr>
      <w:bookmarkStart w:id="61" w:name="_Toc82172378"/>
      <w:bookmarkStart w:id="62" w:name="_Toc17722"/>
      <w:r>
        <w:rPr>
          <w:rFonts w:hint="default" w:ascii="Times New Roman" w:hAnsi="Times New Roman" w:cs="Times New Roman"/>
        </w:rPr>
        <w:t>编制依据</w:t>
      </w:r>
      <w:bookmarkEnd w:id="61"/>
      <w:bookmarkEnd w:id="62"/>
    </w:p>
    <w:p w14:paraId="17CA5503">
      <w:pPr>
        <w:pStyle w:val="4"/>
        <w:kinsoku/>
        <w:wordWrap/>
        <w:topLinePunct w:val="0"/>
        <w:autoSpaceDE/>
        <w:autoSpaceDN/>
        <w:bidi w:val="0"/>
        <w:adjustRightInd/>
        <w:snapToGrid/>
        <w:textAlignment w:val="auto"/>
        <w:rPr>
          <w:rFonts w:hint="default" w:ascii="Times New Roman" w:hAnsi="Times New Roman" w:cs="Times New Roman"/>
        </w:rPr>
      </w:pPr>
      <w:bookmarkStart w:id="63" w:name="_Toc82172379"/>
      <w:bookmarkStart w:id="64" w:name="_Toc3082"/>
      <w:r>
        <w:rPr>
          <w:rFonts w:hint="default" w:ascii="Times New Roman" w:hAnsi="Times New Roman" w:cs="Times New Roman"/>
        </w:rPr>
        <w:t>法律法规</w:t>
      </w:r>
      <w:bookmarkEnd w:id="63"/>
      <w:bookmarkEnd w:id="64"/>
    </w:p>
    <w:p w14:paraId="4CC773A3">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（1）《中华人民共和国环境保护法》</w:t>
      </w:r>
    </w:p>
    <w:p w14:paraId="0DF76341">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（2）《中华人民共和国水污染防治法》</w:t>
      </w:r>
    </w:p>
    <w:p w14:paraId="16358055">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（3）《中华人民共和国水法》</w:t>
      </w:r>
    </w:p>
    <w:p w14:paraId="56CCFCA3">
      <w:pPr>
        <w:pStyle w:val="4"/>
        <w:kinsoku/>
        <w:wordWrap/>
        <w:topLinePunct w:val="0"/>
        <w:autoSpaceDE/>
        <w:autoSpaceDN/>
        <w:bidi w:val="0"/>
        <w:adjustRightInd/>
        <w:snapToGrid/>
        <w:textAlignment w:val="auto"/>
        <w:rPr>
          <w:rFonts w:hint="default" w:ascii="Times New Roman" w:hAnsi="Times New Roman" w:cs="Times New Roman"/>
        </w:rPr>
      </w:pPr>
      <w:bookmarkStart w:id="65" w:name="_Toc82172380"/>
      <w:bookmarkStart w:id="66" w:name="_Toc1539"/>
      <w:r>
        <w:rPr>
          <w:rFonts w:hint="default" w:ascii="Times New Roman" w:hAnsi="Times New Roman" w:cs="Times New Roman"/>
        </w:rPr>
        <w:t>政策文件</w:t>
      </w:r>
      <w:bookmarkEnd w:id="65"/>
      <w:bookmarkEnd w:id="66"/>
    </w:p>
    <w:p w14:paraId="6EC5CCC8">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（1）《生态文明体制改革总体方案》</w:t>
      </w:r>
    </w:p>
    <w:p w14:paraId="58C51609">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（2）《中共中央国务院关于全面加强生态环境保护坚决打好污染防治攻坚战的意见》</w:t>
      </w:r>
    </w:p>
    <w:p w14:paraId="388FF6FA">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（3）《水污染防治行动计划》</w:t>
      </w:r>
    </w:p>
    <w:p w14:paraId="26AA308E">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（4）《全国重要江河湖泊水功能区划（2011-2030年）》</w:t>
      </w:r>
    </w:p>
    <w:p w14:paraId="64EB22AD">
      <w:pPr>
        <w:pStyle w:val="4"/>
        <w:kinsoku/>
        <w:wordWrap/>
        <w:topLinePunct w:val="0"/>
        <w:autoSpaceDE/>
        <w:autoSpaceDN/>
        <w:bidi w:val="0"/>
        <w:adjustRightInd/>
        <w:snapToGrid/>
        <w:textAlignment w:val="auto"/>
        <w:rPr>
          <w:rFonts w:hint="default" w:ascii="Times New Roman" w:hAnsi="Times New Roman" w:cs="Times New Roman"/>
        </w:rPr>
      </w:pPr>
      <w:bookmarkStart w:id="67" w:name="_Toc82172381"/>
      <w:bookmarkStart w:id="68" w:name="_Toc7689"/>
      <w:r>
        <w:rPr>
          <w:rFonts w:hint="default" w:ascii="Times New Roman" w:hAnsi="Times New Roman" w:cs="Times New Roman"/>
        </w:rPr>
        <w:t>相关国家标准及技术文件</w:t>
      </w:r>
      <w:bookmarkEnd w:id="67"/>
      <w:bookmarkEnd w:id="68"/>
    </w:p>
    <w:p w14:paraId="096AF4CB">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（1）《地表水环境质量标准》（GB3838-2002）</w:t>
      </w:r>
    </w:p>
    <w:p w14:paraId="2887FF43">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（2)《污水综合排放标准》（GB8978-96）</w:t>
      </w:r>
    </w:p>
    <w:p w14:paraId="5506E07A">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（3）《城镇污水处理厂污染物排放标准》（GB18918-2002）</w:t>
      </w:r>
    </w:p>
    <w:p w14:paraId="1B3E55C3">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（4）《重点流域水生态环境保护“十四五”规划编制技术大纲》（2019年12月）</w:t>
      </w:r>
    </w:p>
    <w:p w14:paraId="4FAB848D">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（5）吉林省《农村生活污水处理设施水污染物排放标准》（DB22/3094-2020）</w:t>
      </w:r>
    </w:p>
    <w:p w14:paraId="0E23567D">
      <w:pPr>
        <w:pStyle w:val="4"/>
        <w:kinsoku/>
        <w:wordWrap/>
        <w:topLinePunct w:val="0"/>
        <w:autoSpaceDE/>
        <w:autoSpaceDN/>
        <w:bidi w:val="0"/>
        <w:adjustRightInd/>
        <w:snapToGrid/>
        <w:textAlignment w:val="auto"/>
        <w:rPr>
          <w:rFonts w:hint="default" w:ascii="Times New Roman" w:hAnsi="Times New Roman" w:cs="Times New Roman"/>
        </w:rPr>
      </w:pPr>
      <w:bookmarkStart w:id="69" w:name="_Toc12437"/>
      <w:bookmarkStart w:id="70" w:name="_Toc82172382"/>
      <w:r>
        <w:rPr>
          <w:rFonts w:hint="default" w:ascii="Times New Roman" w:hAnsi="Times New Roman" w:cs="Times New Roman"/>
        </w:rPr>
        <w:t>地方相关法规、文件、标准</w:t>
      </w:r>
      <w:bookmarkEnd w:id="69"/>
      <w:bookmarkEnd w:id="70"/>
    </w:p>
    <w:p w14:paraId="49A7E690">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（1）《吉林省落实水污染防治行动计划工作方案》（吉政办发〔2015〕72号）</w:t>
      </w:r>
    </w:p>
    <w:p w14:paraId="3AAE4556">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（2）《吉林省排污许可管理办法》（2017年9月1日）</w:t>
      </w:r>
    </w:p>
    <w:p w14:paraId="0458876E">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（3）《吉林省城镇饮用水水源保护条例》（2018年1月22日）</w:t>
      </w:r>
    </w:p>
    <w:p w14:paraId="5E41B9F6">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（4）《吉林省辽河流域水污染综合整治联合行动方案》（2018年6月）</w:t>
      </w:r>
    </w:p>
    <w:p w14:paraId="58DF3361">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（5）《吉林省辽河流域水环境保护条例》（2019年9月1日）</w:t>
      </w:r>
    </w:p>
    <w:p w14:paraId="7FFAFFBD">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（6）《吉林省辽河流域水污染治理与生态修复综合规划（2018-2035年）》（2019年修编稿）</w:t>
      </w:r>
    </w:p>
    <w:p w14:paraId="2BAC618E">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（7）《吉林省水环境质量巩固提升行动方案》（吉政办发〔2021〕10号）</w:t>
      </w:r>
    </w:p>
    <w:p w14:paraId="39F67E65">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（8）《吉林省生态环境厅关于印送＜吉林省重点流域水生态环境保护＂十四五”规划编制工作方案＞、&lt;辽河流域（吉林省部分）水生态环境保护“十四五”规划编制技术大纲＞的函》(吉环函</w:t>
      </w:r>
      <w:r>
        <w:rPr>
          <w:rFonts w:hint="eastAsia" w:cs="Times New Roman"/>
          <w:lang w:eastAsia="zh-CN"/>
        </w:rPr>
        <w:t>〔</w:t>
      </w:r>
      <w:r>
        <w:rPr>
          <w:rFonts w:hint="default" w:ascii="Times New Roman" w:hAnsi="Times New Roman" w:cs="Times New Roman"/>
        </w:rPr>
        <w:t>2020</w:t>
      </w:r>
      <w:r>
        <w:rPr>
          <w:rFonts w:hint="eastAsia" w:cs="Times New Roman"/>
          <w:lang w:eastAsia="zh-CN"/>
        </w:rPr>
        <w:t>〕</w:t>
      </w:r>
      <w:r>
        <w:rPr>
          <w:rFonts w:hint="default" w:ascii="Times New Roman" w:hAnsi="Times New Roman" w:cs="Times New Roman"/>
        </w:rPr>
        <w:t>122号）</w:t>
      </w:r>
    </w:p>
    <w:p w14:paraId="3123B106">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（9）《关于进一步做好白山市重点流域水生态环境保护“十四五”规划编制工作的函》（白山环领办函</w:t>
      </w:r>
      <w:r>
        <w:rPr>
          <w:rFonts w:hint="eastAsia" w:cs="Times New Roman"/>
          <w:lang w:eastAsia="zh-CN"/>
        </w:rPr>
        <w:t>〔</w:t>
      </w:r>
      <w:r>
        <w:rPr>
          <w:rFonts w:hint="default" w:ascii="Times New Roman" w:hAnsi="Times New Roman" w:cs="Times New Roman"/>
        </w:rPr>
        <w:t>2020</w:t>
      </w:r>
      <w:r>
        <w:rPr>
          <w:rFonts w:hint="eastAsia" w:cs="Times New Roman"/>
          <w:lang w:eastAsia="zh-CN"/>
        </w:rPr>
        <w:t>〕</w:t>
      </w:r>
      <w:r>
        <w:rPr>
          <w:rFonts w:hint="default" w:ascii="Times New Roman" w:hAnsi="Times New Roman" w:cs="Times New Roman"/>
        </w:rPr>
        <w:t>14号）</w:t>
      </w:r>
    </w:p>
    <w:p w14:paraId="27C8E140">
      <w:pPr>
        <w:pStyle w:val="3"/>
        <w:kinsoku/>
        <w:wordWrap/>
        <w:topLinePunct w:val="0"/>
        <w:autoSpaceDE/>
        <w:autoSpaceDN/>
        <w:bidi w:val="0"/>
        <w:adjustRightInd/>
        <w:snapToGrid/>
        <w:textAlignment w:val="auto"/>
        <w:rPr>
          <w:rFonts w:hint="default" w:ascii="Times New Roman" w:hAnsi="Times New Roman" w:cs="Times New Roman"/>
        </w:rPr>
      </w:pPr>
      <w:bookmarkStart w:id="71" w:name="_Toc25541"/>
      <w:bookmarkStart w:id="72" w:name="_Toc82172383"/>
      <w:r>
        <w:rPr>
          <w:rFonts w:hint="default" w:ascii="Times New Roman" w:hAnsi="Times New Roman" w:cs="Times New Roman"/>
        </w:rPr>
        <w:t>规划范围与时限</w:t>
      </w:r>
      <w:bookmarkEnd w:id="71"/>
      <w:bookmarkEnd w:id="72"/>
    </w:p>
    <w:p w14:paraId="1796EBCE">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b/>
          <w:bCs/>
        </w:rPr>
        <w:t>规划范围：</w:t>
      </w:r>
      <w:r>
        <w:rPr>
          <w:rFonts w:hint="default" w:ascii="Times New Roman" w:hAnsi="Times New Roman" w:cs="Times New Roman"/>
        </w:rPr>
        <w:t>江源区全域范围，包括松树镇、湾沟镇、大阳岔镇、砟子镇、石人镇、大石人镇6个镇，孙家堡子街道、江源街道、城墙街道、正岔街道4个街道。</w:t>
      </w:r>
    </w:p>
    <w:p w14:paraId="7FE8B4D5">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b/>
          <w:bCs/>
        </w:rPr>
        <w:t>规划时限：</w:t>
      </w:r>
      <w:r>
        <w:rPr>
          <w:rFonts w:hint="default" w:ascii="Times New Roman" w:hAnsi="Times New Roman" w:cs="Times New Roman"/>
        </w:rPr>
        <w:t>2021-2025年，基准年为2019年，部分数据修订到2020年。</w:t>
      </w:r>
    </w:p>
    <w:p w14:paraId="4AB49D59">
      <w:pPr>
        <w:pStyle w:val="3"/>
        <w:bidi w:val="0"/>
        <w:rPr>
          <w:rFonts w:hint="eastAsia"/>
          <w:lang w:val="en-US" w:eastAsia="zh-CN"/>
        </w:rPr>
      </w:pPr>
      <w:bookmarkStart w:id="73" w:name="_Toc22955"/>
      <w:r>
        <w:rPr>
          <w:rFonts w:hint="eastAsia"/>
          <w:lang w:val="en-US" w:eastAsia="zh-CN"/>
        </w:rPr>
        <w:t>指导思想</w:t>
      </w:r>
      <w:bookmarkEnd w:id="73"/>
    </w:p>
    <w:p w14:paraId="5A7023F1">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以习近平生态文明思想为指导，全面贯彻落实党中央和国务院的决策部署，深刻把握“山水林田湖草是一个生命共同体”的科学内涵，突出流域特色，坚持问题导向与目标导向，坚持继承发扬、求实创新、落地可行，以水生态环境质量为核心，污染减排和生态扩容两手发力，统筹水资源利用、水生态保护和水环境治理，创新机制体制，一河一策精准施治，着力解决群众身边的突出问题，持续改善水生态环境，确保“十四五”目标如期实现。</w:t>
      </w:r>
    </w:p>
    <w:p w14:paraId="55A99784">
      <w:pPr>
        <w:pStyle w:val="3"/>
        <w:kinsoku/>
        <w:wordWrap/>
        <w:topLinePunct w:val="0"/>
        <w:autoSpaceDE/>
        <w:autoSpaceDN/>
        <w:bidi w:val="0"/>
        <w:adjustRightInd/>
        <w:snapToGrid/>
        <w:textAlignment w:val="auto"/>
        <w:rPr>
          <w:rFonts w:hint="default" w:ascii="Times New Roman" w:hAnsi="Times New Roman" w:cs="Times New Roman"/>
        </w:rPr>
      </w:pPr>
      <w:bookmarkStart w:id="74" w:name="_Toc82172385"/>
      <w:bookmarkStart w:id="75" w:name="_Toc6597"/>
      <w:r>
        <w:rPr>
          <w:rFonts w:hint="default" w:ascii="Times New Roman" w:hAnsi="Times New Roman" w:cs="Times New Roman"/>
        </w:rPr>
        <w:t>编制原则</w:t>
      </w:r>
      <w:bookmarkEnd w:id="74"/>
      <w:bookmarkEnd w:id="75"/>
    </w:p>
    <w:p w14:paraId="48904296">
      <w:pPr>
        <w:pStyle w:val="4"/>
        <w:kinsoku/>
        <w:wordWrap/>
        <w:topLinePunct w:val="0"/>
        <w:autoSpaceDE/>
        <w:autoSpaceDN/>
        <w:bidi w:val="0"/>
        <w:adjustRightInd/>
        <w:snapToGrid/>
        <w:textAlignment w:val="auto"/>
        <w:rPr>
          <w:rFonts w:hint="default" w:ascii="Times New Roman" w:hAnsi="Times New Roman" w:cs="Times New Roman"/>
        </w:rPr>
      </w:pPr>
      <w:bookmarkStart w:id="76" w:name="_Toc17281"/>
      <w:bookmarkStart w:id="77" w:name="_Toc82172386"/>
      <w:r>
        <w:rPr>
          <w:rFonts w:hint="default" w:ascii="Times New Roman" w:hAnsi="Times New Roman" w:cs="Times New Roman"/>
        </w:rPr>
        <w:t>“三水”统筹，系统治理</w:t>
      </w:r>
      <w:bookmarkEnd w:id="76"/>
      <w:bookmarkEnd w:id="77"/>
    </w:p>
    <w:p w14:paraId="77324FDA">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坚持山水林田湖草是一个生命共同体的科学理念，统筹水资源、水生态、水环境，系统推进工业、农业、生活、航运污染治理，河湖生态流量保障，生态系统保护修复和风险防控等任务。</w:t>
      </w:r>
    </w:p>
    <w:p w14:paraId="5A02A4F8">
      <w:pPr>
        <w:pStyle w:val="4"/>
        <w:kinsoku/>
        <w:wordWrap/>
        <w:topLinePunct w:val="0"/>
        <w:autoSpaceDE/>
        <w:autoSpaceDN/>
        <w:bidi w:val="0"/>
        <w:adjustRightInd/>
        <w:snapToGrid/>
        <w:textAlignment w:val="auto"/>
        <w:rPr>
          <w:rFonts w:hint="default" w:ascii="Times New Roman" w:hAnsi="Times New Roman" w:cs="Times New Roman"/>
        </w:rPr>
      </w:pPr>
      <w:bookmarkStart w:id="78" w:name="_Toc23012"/>
      <w:bookmarkStart w:id="79" w:name="_Toc82172387"/>
      <w:r>
        <w:rPr>
          <w:rFonts w:hint="default" w:ascii="Times New Roman" w:hAnsi="Times New Roman" w:cs="Times New Roman"/>
        </w:rPr>
        <w:t>突出重点，有限目标</w:t>
      </w:r>
      <w:bookmarkEnd w:id="78"/>
      <w:bookmarkEnd w:id="79"/>
    </w:p>
    <w:p w14:paraId="1272998D">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以</w:t>
      </w:r>
      <w:r>
        <w:rPr>
          <w:rFonts w:hint="eastAsia" w:cs="Times New Roman"/>
          <w:color w:val="auto"/>
          <w:sz w:val="24"/>
          <w:szCs w:val="24"/>
          <w:lang w:val="en-US" w:eastAsia="zh-CN"/>
        </w:rPr>
        <w:t>解决</w:t>
      </w:r>
      <w:r>
        <w:rPr>
          <w:rFonts w:hint="default" w:ascii="Times New Roman" w:hAnsi="Times New Roman" w:eastAsia="宋体" w:cs="Times New Roman"/>
          <w:color w:val="auto"/>
          <w:sz w:val="24"/>
          <w:szCs w:val="24"/>
        </w:rPr>
        <w:t>群众身边的水环境污染、水生态破坏、生态流量匮乏等突出生态环境问题为重点，衔接2035年美丽中国和本世纪中叶社会主义现代化强国目标，提出“十四五”期间切实可行的目标。</w:t>
      </w:r>
    </w:p>
    <w:p w14:paraId="6BBA5829">
      <w:pPr>
        <w:pStyle w:val="4"/>
        <w:kinsoku/>
        <w:wordWrap/>
        <w:topLinePunct w:val="0"/>
        <w:autoSpaceDE/>
        <w:autoSpaceDN/>
        <w:bidi w:val="0"/>
        <w:adjustRightInd/>
        <w:snapToGrid/>
        <w:textAlignment w:val="auto"/>
        <w:rPr>
          <w:rFonts w:hint="default" w:ascii="Times New Roman" w:hAnsi="Times New Roman" w:cs="Times New Roman"/>
        </w:rPr>
      </w:pPr>
      <w:bookmarkStart w:id="80" w:name="_Toc82172388"/>
      <w:bookmarkStart w:id="81" w:name="_Toc9960"/>
      <w:r>
        <w:rPr>
          <w:rFonts w:hint="default" w:ascii="Times New Roman" w:hAnsi="Times New Roman" w:cs="Times New Roman"/>
        </w:rPr>
        <w:t>实事求是，因地制宜</w:t>
      </w:r>
      <w:bookmarkEnd w:id="80"/>
      <w:bookmarkEnd w:id="81"/>
    </w:p>
    <w:p w14:paraId="4C447662">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客观分析当地水生态环境质量状况、生态环境保护工作基础和经济社会发展现状，结合流域资源禀赋等不同特点，系统设计针对性</w:t>
      </w:r>
      <w:r>
        <w:rPr>
          <w:rFonts w:hint="eastAsia" w:cs="Times New Roman"/>
          <w:lang w:val="en-US" w:eastAsia="zh-CN"/>
        </w:rPr>
        <w:t>的水生态环境保护</w:t>
      </w:r>
      <w:r>
        <w:rPr>
          <w:rFonts w:hint="default" w:ascii="Times New Roman" w:hAnsi="Times New Roman" w:cs="Times New Roman"/>
        </w:rPr>
        <w:t>任务措施。</w:t>
      </w:r>
    </w:p>
    <w:p w14:paraId="79D606F2">
      <w:pPr>
        <w:pStyle w:val="4"/>
        <w:kinsoku/>
        <w:wordWrap/>
        <w:topLinePunct w:val="0"/>
        <w:autoSpaceDE/>
        <w:autoSpaceDN/>
        <w:bidi w:val="0"/>
        <w:adjustRightInd/>
        <w:snapToGrid/>
        <w:textAlignment w:val="auto"/>
        <w:rPr>
          <w:rFonts w:hint="default" w:ascii="Times New Roman" w:hAnsi="Times New Roman" w:cs="Times New Roman"/>
        </w:rPr>
      </w:pPr>
      <w:bookmarkStart w:id="82" w:name="_Toc82172389"/>
      <w:bookmarkStart w:id="83" w:name="_Toc28289"/>
      <w:r>
        <w:rPr>
          <w:rFonts w:hint="default" w:ascii="Times New Roman" w:hAnsi="Times New Roman" w:cs="Times New Roman"/>
        </w:rPr>
        <w:t>上下联动，形成合力</w:t>
      </w:r>
      <w:bookmarkEnd w:id="82"/>
      <w:bookmarkEnd w:id="83"/>
    </w:p>
    <w:p w14:paraId="5488B2BB">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注重国家与地方联动，群策群力。国家和流域层面，自上而下明确总体部署，加强对地方各级规划编制的指导。地方层面，在规划编制过程中注重问题、成因、目标、任务、责任等清单的落实。</w:t>
      </w:r>
    </w:p>
    <w:p w14:paraId="759D7DB8">
      <w:pPr>
        <w:pStyle w:val="3"/>
        <w:kinsoku/>
        <w:wordWrap/>
        <w:topLinePunct w:val="0"/>
        <w:autoSpaceDE/>
        <w:autoSpaceDN/>
        <w:bidi w:val="0"/>
        <w:adjustRightInd/>
        <w:snapToGrid/>
        <w:textAlignment w:val="auto"/>
        <w:rPr>
          <w:rFonts w:hint="default" w:ascii="Times New Roman" w:hAnsi="Times New Roman" w:cs="Times New Roman"/>
        </w:rPr>
      </w:pPr>
      <w:bookmarkStart w:id="84" w:name="_Toc82172390"/>
      <w:bookmarkStart w:id="85" w:name="_Toc11829"/>
      <w:r>
        <w:rPr>
          <w:rFonts w:hint="default" w:ascii="Times New Roman" w:hAnsi="Times New Roman" w:cs="Times New Roman"/>
        </w:rPr>
        <w:t>技术路线</w:t>
      </w:r>
      <w:bookmarkEnd w:id="84"/>
      <w:bookmarkEnd w:id="85"/>
    </w:p>
    <w:p w14:paraId="78837DFD">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（1）总结“十三五”水生态环境保护成效与经验；</w:t>
      </w:r>
    </w:p>
    <w:p w14:paraId="2C965D5B">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（2）系统分析水生态环境状况，识别重点区域和重点问题，分析问题成因；</w:t>
      </w:r>
    </w:p>
    <w:p w14:paraId="0ADE7C79">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（3）充分考虑群众对生态环境的迫切需求，制定统筹水资源、水生态、水环境的指标体系，兼顾必要性和可达性，科学确定目标；</w:t>
      </w:r>
    </w:p>
    <w:p w14:paraId="68E2EAB0">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（4）按照“流域统筹、区域落实”的思路，建立流域空间管控体系；</w:t>
      </w:r>
    </w:p>
    <w:p w14:paraId="1FEC9287">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（5）根据问题导向和目标导向，设计支撑目标实现的规划任务体系，提炼规划项目清单；</w:t>
      </w:r>
    </w:p>
    <w:p w14:paraId="494F1054">
      <w:pPr>
        <w:kinsoku/>
        <w:wordWrap/>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（6）提出保障规划顺利实施的政策措施。</w:t>
      </w:r>
    </w:p>
    <w:p w14:paraId="71E6D94F">
      <w:pPr>
        <w:pStyle w:val="3"/>
        <w:bidi w:val="0"/>
        <w:rPr>
          <w:rFonts w:hint="default"/>
        </w:rPr>
      </w:pPr>
      <w:bookmarkStart w:id="86" w:name="_Toc1102"/>
      <w:r>
        <w:rPr>
          <w:rFonts w:hint="eastAsia"/>
          <w:lang w:val="en-US" w:eastAsia="zh-CN"/>
        </w:rPr>
        <w:t>规划目标</w:t>
      </w:r>
      <w:bookmarkEnd w:id="86"/>
    </w:p>
    <w:p w14:paraId="475BB3CC">
      <w:pPr>
        <w:bidi w:val="0"/>
        <w:rPr>
          <w:rFonts w:hint="default"/>
        </w:rPr>
      </w:pPr>
      <w:r>
        <w:rPr>
          <w:rFonts w:hint="default"/>
        </w:rPr>
        <w:t>江源区水环境“十四五”规划目标指标与白山市级一致，结合白山市及江源区“十四五”期间国民经济和社会发展总体规划，初步确定了“十四五”期间水生态环境保护工作的方向和目标。</w:t>
      </w:r>
    </w:p>
    <w:p w14:paraId="2C81CE14">
      <w:pPr>
        <w:kinsoku/>
        <w:wordWrap/>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水环境方面：</w:t>
      </w:r>
      <w:r>
        <w:rPr>
          <w:rFonts w:hint="default" w:ascii="Times New Roman" w:hAnsi="Times New Roman" w:eastAsia="宋体" w:cs="Times New Roman"/>
          <w:color w:val="auto"/>
          <w:sz w:val="24"/>
          <w:szCs w:val="24"/>
        </w:rPr>
        <w:t>“十四五”期间水质稳定达标，其中地表水优良比例达到100%、地表水劣</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5 \* ROMAN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类水体比例控制在0、水功能区达标率达到100%、城市集中式饮用水水源达到或优于</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3 \* ROMAN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III</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类比例达到100%。</w:t>
      </w:r>
    </w:p>
    <w:p w14:paraId="6DA47A9A">
      <w:pPr>
        <w:kinsoku/>
        <w:wordWrap/>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水资源方面：</w:t>
      </w:r>
      <w:r>
        <w:rPr>
          <w:rFonts w:hint="default" w:ascii="Times New Roman" w:hAnsi="Times New Roman" w:eastAsia="宋体" w:cs="Times New Roman"/>
          <w:color w:val="auto"/>
          <w:sz w:val="24"/>
          <w:szCs w:val="24"/>
        </w:rPr>
        <w:t>继续加强区内水库、水电站运行调度管理，确保区内河流生态流量得到保障。</w:t>
      </w:r>
    </w:p>
    <w:p w14:paraId="5799F675">
      <w:pPr>
        <w:kinsoku/>
        <w:wordWrap/>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水生态方面：</w:t>
      </w:r>
      <w:r>
        <w:rPr>
          <w:rFonts w:hint="default" w:ascii="Times New Roman" w:hAnsi="Times New Roman" w:eastAsia="宋体" w:cs="Times New Roman"/>
          <w:color w:val="auto"/>
          <w:sz w:val="24"/>
          <w:szCs w:val="24"/>
        </w:rPr>
        <w:t>河湖生态缓冲带修复长度约8.9km。</w:t>
      </w:r>
    </w:p>
    <w:p w14:paraId="39075B11">
      <w:pPr>
        <w:kinsoku/>
        <w:wordWrap/>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rPr>
        <w:sectPr>
          <w:headerReference r:id="rId15" w:type="default"/>
          <w:footerReference r:id="rId16" w:type="default"/>
          <w:pgSz w:w="11906" w:h="16838"/>
          <w:pgMar w:top="1440" w:right="1800" w:bottom="1440" w:left="1800" w:header="851" w:footer="992" w:gutter="0"/>
          <w:pgNumType w:fmt="numberInDash"/>
          <w:cols w:space="0" w:num="1"/>
          <w:rtlGutter w:val="0"/>
          <w:docGrid w:type="lines" w:linePitch="332" w:charSpace="0"/>
        </w:sectPr>
      </w:pPr>
      <w:r>
        <w:rPr>
          <w:rFonts w:hint="default" w:ascii="Times New Roman" w:hAnsi="Times New Roman" w:eastAsia="宋体" w:cs="Times New Roman"/>
          <w:b/>
          <w:color w:val="auto"/>
          <w:sz w:val="24"/>
          <w:szCs w:val="24"/>
        </w:rPr>
        <w:t>水环境风险方面：</w:t>
      </w:r>
      <w:r>
        <w:rPr>
          <w:rFonts w:hint="default" w:ascii="Times New Roman" w:hAnsi="Times New Roman" w:eastAsia="宋体" w:cs="Times New Roman"/>
          <w:color w:val="auto"/>
          <w:sz w:val="24"/>
          <w:szCs w:val="24"/>
        </w:rPr>
        <w:t>内源可控、外源预警。重金属尾矿风险、水土流失风险及农村分散式饮用水水源地风险得到有效管控。</w:t>
      </w:r>
    </w:p>
    <w:p w14:paraId="0F667B16">
      <w:pPr>
        <w:pStyle w:val="16"/>
        <w:bidi w:val="0"/>
        <w:rPr>
          <w:rFonts w:hint="default"/>
        </w:rPr>
      </w:pPr>
      <w:r>
        <w:rPr>
          <w:rFonts w:hint="default"/>
        </w:rPr>
        <w:t>表</w:t>
      </w:r>
      <w:r>
        <w:rPr>
          <w:rFonts w:hint="eastAsia"/>
          <w:lang w:val="en-US" w:eastAsia="zh-CN"/>
        </w:rPr>
        <w:t>2</w:t>
      </w:r>
      <w:r>
        <w:rPr>
          <w:rFonts w:hint="default"/>
        </w:rPr>
        <w:t>-1“十四五”规划目标指标体系</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905"/>
        <w:gridCol w:w="1006"/>
        <w:gridCol w:w="2257"/>
        <w:gridCol w:w="1013"/>
        <w:gridCol w:w="1320"/>
        <w:gridCol w:w="1166"/>
      </w:tblGrid>
      <w:tr w14:paraId="370F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noWrap w:val="0"/>
            <w:vAlign w:val="center"/>
          </w:tcPr>
          <w:p w14:paraId="32FA7BEA">
            <w:pPr>
              <w:pStyle w:val="17"/>
              <w:bidi w:val="0"/>
              <w:rPr>
                <w:rFonts w:hint="default"/>
                <w:b/>
                <w:bCs/>
              </w:rPr>
            </w:pPr>
            <w:bookmarkStart w:id="87" w:name="_Hlk54856276"/>
            <w:r>
              <w:rPr>
                <w:rFonts w:hint="default"/>
                <w:b/>
                <w:bCs/>
              </w:rPr>
              <w:t>类别</w:t>
            </w:r>
          </w:p>
        </w:tc>
        <w:tc>
          <w:tcPr>
            <w:tcW w:w="531" w:type="pct"/>
            <w:noWrap w:val="0"/>
            <w:vAlign w:val="center"/>
          </w:tcPr>
          <w:p w14:paraId="619DA8B3">
            <w:pPr>
              <w:pStyle w:val="17"/>
              <w:bidi w:val="0"/>
              <w:rPr>
                <w:rFonts w:hint="default"/>
                <w:b/>
                <w:bCs/>
              </w:rPr>
            </w:pPr>
            <w:r>
              <w:rPr>
                <w:rFonts w:hint="default"/>
                <w:b/>
                <w:bCs/>
              </w:rPr>
              <w:t>序号</w:t>
            </w:r>
          </w:p>
        </w:tc>
        <w:tc>
          <w:tcPr>
            <w:tcW w:w="1914" w:type="pct"/>
            <w:gridSpan w:val="2"/>
            <w:noWrap w:val="0"/>
            <w:vAlign w:val="center"/>
          </w:tcPr>
          <w:p w14:paraId="1EE9A5BF">
            <w:pPr>
              <w:pStyle w:val="17"/>
              <w:bidi w:val="0"/>
              <w:rPr>
                <w:rFonts w:hint="default"/>
                <w:b/>
                <w:bCs/>
              </w:rPr>
            </w:pPr>
            <w:r>
              <w:rPr>
                <w:rFonts w:hint="default"/>
                <w:b/>
                <w:bCs/>
              </w:rPr>
              <w:t>常规指标</w:t>
            </w:r>
          </w:p>
        </w:tc>
        <w:tc>
          <w:tcPr>
            <w:tcW w:w="594" w:type="pct"/>
            <w:noWrap w:val="0"/>
            <w:vAlign w:val="center"/>
          </w:tcPr>
          <w:p w14:paraId="1324753F">
            <w:pPr>
              <w:pStyle w:val="17"/>
              <w:bidi w:val="0"/>
              <w:rPr>
                <w:rFonts w:hint="default"/>
                <w:b/>
                <w:bCs/>
              </w:rPr>
            </w:pPr>
            <w:r>
              <w:rPr>
                <w:rFonts w:hint="default"/>
                <w:b/>
                <w:bCs/>
              </w:rPr>
              <w:t>2020年</w:t>
            </w:r>
          </w:p>
        </w:tc>
        <w:tc>
          <w:tcPr>
            <w:tcW w:w="774" w:type="pct"/>
            <w:noWrap w:val="0"/>
            <w:vAlign w:val="center"/>
          </w:tcPr>
          <w:p w14:paraId="53E3DC7C">
            <w:pPr>
              <w:pStyle w:val="17"/>
              <w:bidi w:val="0"/>
              <w:rPr>
                <w:rFonts w:hint="default"/>
                <w:b/>
                <w:bCs/>
              </w:rPr>
            </w:pPr>
            <w:r>
              <w:rPr>
                <w:rFonts w:hint="default"/>
                <w:b/>
                <w:bCs/>
              </w:rPr>
              <w:t>2025年</w:t>
            </w:r>
          </w:p>
        </w:tc>
        <w:tc>
          <w:tcPr>
            <w:tcW w:w="684" w:type="pct"/>
            <w:noWrap w:val="0"/>
            <w:vAlign w:val="center"/>
          </w:tcPr>
          <w:p w14:paraId="6EA81B46">
            <w:pPr>
              <w:pStyle w:val="17"/>
              <w:bidi w:val="0"/>
              <w:rPr>
                <w:rFonts w:hint="default"/>
                <w:b/>
                <w:bCs/>
              </w:rPr>
            </w:pPr>
            <w:r>
              <w:rPr>
                <w:rFonts w:hint="eastAsia" w:cs="Times New Roman"/>
                <w:b/>
                <w:sz w:val="21"/>
                <w:szCs w:val="21"/>
              </w:rPr>
              <w:t>指标类型</w:t>
            </w:r>
          </w:p>
        </w:tc>
      </w:tr>
      <w:tr w14:paraId="5343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restart"/>
            <w:noWrap w:val="0"/>
            <w:vAlign w:val="center"/>
          </w:tcPr>
          <w:p w14:paraId="09A15A01">
            <w:pPr>
              <w:pStyle w:val="17"/>
              <w:bidi w:val="0"/>
              <w:rPr>
                <w:rFonts w:hint="default"/>
              </w:rPr>
            </w:pPr>
            <w:r>
              <w:rPr>
                <w:rFonts w:hint="default"/>
              </w:rPr>
              <w:t>水环境</w:t>
            </w:r>
          </w:p>
        </w:tc>
        <w:tc>
          <w:tcPr>
            <w:tcW w:w="531" w:type="pct"/>
            <w:noWrap w:val="0"/>
            <w:vAlign w:val="center"/>
          </w:tcPr>
          <w:p w14:paraId="4FA69EBB">
            <w:pPr>
              <w:pStyle w:val="17"/>
              <w:bidi w:val="0"/>
              <w:rPr>
                <w:rFonts w:hint="default"/>
              </w:rPr>
            </w:pPr>
            <w:r>
              <w:rPr>
                <w:rFonts w:hint="default"/>
              </w:rPr>
              <w:t>1</w:t>
            </w:r>
          </w:p>
        </w:tc>
        <w:tc>
          <w:tcPr>
            <w:tcW w:w="1914" w:type="pct"/>
            <w:gridSpan w:val="2"/>
            <w:noWrap w:val="0"/>
            <w:vAlign w:val="center"/>
          </w:tcPr>
          <w:p w14:paraId="1D096729">
            <w:pPr>
              <w:pStyle w:val="17"/>
              <w:bidi w:val="0"/>
              <w:rPr>
                <w:rFonts w:hint="default"/>
              </w:rPr>
            </w:pPr>
            <w:r>
              <w:rPr>
                <w:rFonts w:hint="default"/>
              </w:rPr>
              <w:t>地表水优良（达到或优于Ⅲ类比例）（%）</w:t>
            </w:r>
          </w:p>
        </w:tc>
        <w:tc>
          <w:tcPr>
            <w:tcW w:w="594" w:type="pct"/>
            <w:noWrap w:val="0"/>
            <w:vAlign w:val="center"/>
          </w:tcPr>
          <w:p w14:paraId="37381D10">
            <w:pPr>
              <w:pStyle w:val="17"/>
              <w:bidi w:val="0"/>
              <w:rPr>
                <w:rFonts w:hint="default"/>
              </w:rPr>
            </w:pPr>
            <w:r>
              <w:rPr>
                <w:rFonts w:hint="default"/>
              </w:rPr>
              <w:t>100</w:t>
            </w:r>
          </w:p>
        </w:tc>
        <w:tc>
          <w:tcPr>
            <w:tcW w:w="774" w:type="pct"/>
            <w:noWrap w:val="0"/>
            <w:vAlign w:val="center"/>
          </w:tcPr>
          <w:p w14:paraId="38B3DA63">
            <w:pPr>
              <w:pStyle w:val="17"/>
              <w:bidi w:val="0"/>
              <w:rPr>
                <w:rFonts w:hint="default"/>
              </w:rPr>
            </w:pPr>
            <w:r>
              <w:rPr>
                <w:rFonts w:hint="default"/>
              </w:rPr>
              <w:t>100</w:t>
            </w:r>
          </w:p>
        </w:tc>
        <w:tc>
          <w:tcPr>
            <w:tcW w:w="684" w:type="pct"/>
            <w:noWrap w:val="0"/>
            <w:vAlign w:val="center"/>
          </w:tcPr>
          <w:p w14:paraId="7C7200CD">
            <w:pPr>
              <w:overflowPunct w:val="0"/>
              <w:spacing w:line="320" w:lineRule="exact"/>
              <w:ind w:firstLine="0" w:firstLineChars="0"/>
              <w:jc w:val="center"/>
              <w:rPr>
                <w:rFonts w:hint="default"/>
              </w:rPr>
            </w:pPr>
            <w:r>
              <w:rPr>
                <w:rFonts w:hint="eastAsia" w:cs="Times New Roman"/>
                <w:sz w:val="21"/>
                <w:szCs w:val="21"/>
              </w:rPr>
              <w:t>约束性</w:t>
            </w:r>
          </w:p>
        </w:tc>
      </w:tr>
      <w:bookmarkEnd w:id="87"/>
      <w:tr w14:paraId="08CF2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continue"/>
            <w:noWrap w:val="0"/>
            <w:vAlign w:val="center"/>
          </w:tcPr>
          <w:p w14:paraId="321EABFC">
            <w:pPr>
              <w:pStyle w:val="17"/>
              <w:bidi w:val="0"/>
              <w:rPr>
                <w:rFonts w:hint="default"/>
              </w:rPr>
            </w:pPr>
          </w:p>
        </w:tc>
        <w:tc>
          <w:tcPr>
            <w:tcW w:w="531" w:type="pct"/>
            <w:noWrap w:val="0"/>
            <w:vAlign w:val="center"/>
          </w:tcPr>
          <w:p w14:paraId="7DF89734">
            <w:pPr>
              <w:pStyle w:val="17"/>
              <w:bidi w:val="0"/>
              <w:rPr>
                <w:rFonts w:hint="default"/>
              </w:rPr>
            </w:pPr>
            <w:r>
              <w:rPr>
                <w:rFonts w:hint="default"/>
              </w:rPr>
              <w:t>2</w:t>
            </w:r>
          </w:p>
        </w:tc>
        <w:tc>
          <w:tcPr>
            <w:tcW w:w="1914" w:type="pct"/>
            <w:gridSpan w:val="2"/>
            <w:noWrap w:val="0"/>
            <w:vAlign w:val="center"/>
          </w:tcPr>
          <w:p w14:paraId="671AF793">
            <w:pPr>
              <w:pStyle w:val="17"/>
              <w:bidi w:val="0"/>
              <w:rPr>
                <w:rFonts w:hint="default"/>
              </w:rPr>
            </w:pPr>
            <w:r>
              <w:rPr>
                <w:rFonts w:hint="default"/>
              </w:rPr>
              <w:t>地表水劣V类水体比例（%）</w:t>
            </w:r>
          </w:p>
        </w:tc>
        <w:tc>
          <w:tcPr>
            <w:tcW w:w="594" w:type="pct"/>
            <w:noWrap w:val="0"/>
            <w:vAlign w:val="center"/>
          </w:tcPr>
          <w:p w14:paraId="2D92A597">
            <w:pPr>
              <w:pStyle w:val="17"/>
              <w:bidi w:val="0"/>
              <w:rPr>
                <w:rFonts w:hint="default"/>
              </w:rPr>
            </w:pPr>
            <w:r>
              <w:rPr>
                <w:rFonts w:hint="default"/>
              </w:rPr>
              <w:t>0</w:t>
            </w:r>
          </w:p>
        </w:tc>
        <w:tc>
          <w:tcPr>
            <w:tcW w:w="774" w:type="pct"/>
            <w:noWrap w:val="0"/>
            <w:vAlign w:val="center"/>
          </w:tcPr>
          <w:p w14:paraId="6B89C788">
            <w:pPr>
              <w:pStyle w:val="17"/>
              <w:bidi w:val="0"/>
              <w:rPr>
                <w:rFonts w:hint="default"/>
              </w:rPr>
            </w:pPr>
            <w:r>
              <w:rPr>
                <w:rFonts w:hint="default"/>
              </w:rPr>
              <w:t>0</w:t>
            </w:r>
          </w:p>
        </w:tc>
        <w:tc>
          <w:tcPr>
            <w:tcW w:w="684" w:type="pct"/>
            <w:noWrap w:val="0"/>
            <w:vAlign w:val="center"/>
          </w:tcPr>
          <w:p w14:paraId="2062064A">
            <w:pPr>
              <w:overflowPunct w:val="0"/>
              <w:spacing w:line="320" w:lineRule="exact"/>
              <w:ind w:firstLine="0" w:firstLineChars="0"/>
              <w:jc w:val="center"/>
              <w:rPr>
                <w:rFonts w:hint="default"/>
              </w:rPr>
            </w:pPr>
            <w:r>
              <w:rPr>
                <w:rFonts w:hint="eastAsia" w:cs="Times New Roman"/>
                <w:sz w:val="21"/>
                <w:szCs w:val="21"/>
              </w:rPr>
              <w:t>约束性</w:t>
            </w:r>
          </w:p>
        </w:tc>
      </w:tr>
      <w:tr w14:paraId="559BF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continue"/>
            <w:noWrap w:val="0"/>
            <w:vAlign w:val="center"/>
          </w:tcPr>
          <w:p w14:paraId="404D788B">
            <w:pPr>
              <w:pStyle w:val="17"/>
              <w:bidi w:val="0"/>
              <w:rPr>
                <w:rFonts w:hint="default"/>
              </w:rPr>
            </w:pPr>
          </w:p>
        </w:tc>
        <w:tc>
          <w:tcPr>
            <w:tcW w:w="531" w:type="pct"/>
            <w:noWrap w:val="0"/>
            <w:vAlign w:val="center"/>
          </w:tcPr>
          <w:p w14:paraId="5A634CF2">
            <w:pPr>
              <w:pStyle w:val="17"/>
              <w:bidi w:val="0"/>
              <w:rPr>
                <w:rFonts w:hint="default"/>
              </w:rPr>
            </w:pPr>
            <w:r>
              <w:rPr>
                <w:rFonts w:hint="default"/>
              </w:rPr>
              <w:t>3</w:t>
            </w:r>
          </w:p>
        </w:tc>
        <w:tc>
          <w:tcPr>
            <w:tcW w:w="1914" w:type="pct"/>
            <w:gridSpan w:val="2"/>
            <w:noWrap w:val="0"/>
            <w:vAlign w:val="center"/>
          </w:tcPr>
          <w:p w14:paraId="1394062D">
            <w:pPr>
              <w:pStyle w:val="17"/>
              <w:bidi w:val="0"/>
              <w:rPr>
                <w:rFonts w:hint="default"/>
              </w:rPr>
            </w:pPr>
            <w:r>
              <w:rPr>
                <w:rFonts w:hint="default"/>
              </w:rPr>
              <w:t>水功能区达标率（%）</w:t>
            </w:r>
          </w:p>
        </w:tc>
        <w:tc>
          <w:tcPr>
            <w:tcW w:w="594" w:type="pct"/>
            <w:noWrap w:val="0"/>
            <w:vAlign w:val="center"/>
          </w:tcPr>
          <w:p w14:paraId="38167FF6">
            <w:pPr>
              <w:pStyle w:val="17"/>
              <w:bidi w:val="0"/>
              <w:rPr>
                <w:rFonts w:hint="default"/>
              </w:rPr>
            </w:pPr>
            <w:r>
              <w:rPr>
                <w:rFonts w:hint="default"/>
              </w:rPr>
              <w:t>100</w:t>
            </w:r>
          </w:p>
        </w:tc>
        <w:tc>
          <w:tcPr>
            <w:tcW w:w="774" w:type="pct"/>
            <w:noWrap w:val="0"/>
            <w:vAlign w:val="center"/>
          </w:tcPr>
          <w:p w14:paraId="76FFA5BD">
            <w:pPr>
              <w:pStyle w:val="17"/>
              <w:bidi w:val="0"/>
              <w:rPr>
                <w:rFonts w:hint="default"/>
              </w:rPr>
            </w:pPr>
            <w:r>
              <w:rPr>
                <w:rFonts w:hint="default"/>
              </w:rPr>
              <w:t>100</w:t>
            </w:r>
          </w:p>
        </w:tc>
        <w:tc>
          <w:tcPr>
            <w:tcW w:w="684" w:type="pct"/>
            <w:noWrap w:val="0"/>
            <w:vAlign w:val="center"/>
          </w:tcPr>
          <w:p w14:paraId="5E20AFB6">
            <w:pPr>
              <w:overflowPunct w:val="0"/>
              <w:spacing w:line="320" w:lineRule="exact"/>
              <w:ind w:firstLine="0" w:firstLineChars="0"/>
              <w:jc w:val="center"/>
              <w:rPr>
                <w:rFonts w:hint="default"/>
              </w:rPr>
            </w:pPr>
            <w:r>
              <w:rPr>
                <w:rFonts w:hint="eastAsia" w:cs="Times New Roman"/>
                <w:sz w:val="21"/>
                <w:szCs w:val="21"/>
              </w:rPr>
              <w:t>预期性</w:t>
            </w:r>
          </w:p>
        </w:tc>
      </w:tr>
      <w:tr w14:paraId="178CF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continue"/>
            <w:noWrap w:val="0"/>
            <w:vAlign w:val="center"/>
          </w:tcPr>
          <w:p w14:paraId="6F922BA9">
            <w:pPr>
              <w:pStyle w:val="17"/>
              <w:bidi w:val="0"/>
              <w:rPr>
                <w:rFonts w:hint="default"/>
              </w:rPr>
            </w:pPr>
          </w:p>
        </w:tc>
        <w:tc>
          <w:tcPr>
            <w:tcW w:w="531" w:type="pct"/>
            <w:vMerge w:val="restart"/>
            <w:noWrap w:val="0"/>
            <w:vAlign w:val="center"/>
          </w:tcPr>
          <w:p w14:paraId="4AD0B546">
            <w:pPr>
              <w:pStyle w:val="17"/>
              <w:bidi w:val="0"/>
              <w:rPr>
                <w:rFonts w:hint="default"/>
              </w:rPr>
            </w:pPr>
            <w:r>
              <w:rPr>
                <w:rFonts w:hint="default"/>
              </w:rPr>
              <w:t>浑江</w:t>
            </w:r>
          </w:p>
        </w:tc>
        <w:tc>
          <w:tcPr>
            <w:tcW w:w="590" w:type="pct"/>
            <w:noWrap w:val="0"/>
            <w:vAlign w:val="center"/>
          </w:tcPr>
          <w:p w14:paraId="76467A92">
            <w:pPr>
              <w:pStyle w:val="17"/>
              <w:bidi w:val="0"/>
              <w:rPr>
                <w:rFonts w:hint="default"/>
              </w:rPr>
            </w:pPr>
            <w:r>
              <w:rPr>
                <w:rFonts w:hint="default"/>
              </w:rPr>
              <w:t>①</w:t>
            </w:r>
          </w:p>
        </w:tc>
        <w:tc>
          <w:tcPr>
            <w:tcW w:w="1324" w:type="pct"/>
            <w:noWrap w:val="0"/>
            <w:vAlign w:val="center"/>
          </w:tcPr>
          <w:p w14:paraId="11B49EE9">
            <w:pPr>
              <w:pStyle w:val="17"/>
              <w:bidi w:val="0"/>
              <w:rPr>
                <w:rFonts w:hint="default"/>
              </w:rPr>
            </w:pPr>
            <w:r>
              <w:rPr>
                <w:rFonts w:hint="default"/>
              </w:rPr>
              <w:t>浑江（浑）</w:t>
            </w:r>
          </w:p>
        </w:tc>
        <w:tc>
          <w:tcPr>
            <w:tcW w:w="594" w:type="pct"/>
            <w:noWrap w:val="0"/>
            <w:vAlign w:val="center"/>
          </w:tcPr>
          <w:p w14:paraId="4379B1B1">
            <w:pPr>
              <w:pStyle w:val="17"/>
              <w:bidi w:val="0"/>
              <w:rPr>
                <w:rFonts w:hint="default"/>
              </w:rPr>
            </w:pPr>
            <w:r>
              <w:rPr>
                <w:rFonts w:hint="default"/>
              </w:rPr>
              <w:t>Ⅲ</w:t>
            </w:r>
          </w:p>
        </w:tc>
        <w:tc>
          <w:tcPr>
            <w:tcW w:w="774" w:type="pct"/>
            <w:noWrap w:val="0"/>
            <w:vAlign w:val="center"/>
          </w:tcPr>
          <w:p w14:paraId="2B65EEDB">
            <w:pPr>
              <w:pStyle w:val="17"/>
              <w:bidi w:val="0"/>
              <w:rPr>
                <w:rFonts w:hint="default"/>
              </w:rPr>
            </w:pPr>
            <w:r>
              <w:rPr>
                <w:rFonts w:hint="default"/>
              </w:rPr>
              <w:t>Ⅲ</w:t>
            </w:r>
          </w:p>
        </w:tc>
        <w:tc>
          <w:tcPr>
            <w:tcW w:w="684" w:type="pct"/>
            <w:noWrap w:val="0"/>
            <w:vAlign w:val="center"/>
          </w:tcPr>
          <w:p w14:paraId="56FB33C0">
            <w:pPr>
              <w:overflowPunct w:val="0"/>
              <w:spacing w:line="320" w:lineRule="exact"/>
              <w:ind w:firstLine="0" w:firstLineChars="0"/>
              <w:jc w:val="center"/>
              <w:rPr>
                <w:rFonts w:hint="default"/>
              </w:rPr>
            </w:pPr>
            <w:r>
              <w:rPr>
                <w:rFonts w:hint="eastAsia" w:cs="Times New Roman"/>
                <w:sz w:val="21"/>
                <w:szCs w:val="21"/>
              </w:rPr>
              <w:t>预期性</w:t>
            </w:r>
          </w:p>
        </w:tc>
      </w:tr>
      <w:tr w14:paraId="5BBD3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continue"/>
            <w:noWrap w:val="0"/>
            <w:vAlign w:val="center"/>
          </w:tcPr>
          <w:p w14:paraId="02E75C40">
            <w:pPr>
              <w:pStyle w:val="17"/>
              <w:bidi w:val="0"/>
              <w:rPr>
                <w:rFonts w:hint="default"/>
              </w:rPr>
            </w:pPr>
          </w:p>
        </w:tc>
        <w:tc>
          <w:tcPr>
            <w:tcW w:w="531" w:type="pct"/>
            <w:vMerge w:val="continue"/>
            <w:noWrap w:val="0"/>
            <w:vAlign w:val="center"/>
          </w:tcPr>
          <w:p w14:paraId="779EC39B">
            <w:pPr>
              <w:pStyle w:val="17"/>
              <w:bidi w:val="0"/>
              <w:rPr>
                <w:rFonts w:hint="default"/>
              </w:rPr>
            </w:pPr>
          </w:p>
        </w:tc>
        <w:tc>
          <w:tcPr>
            <w:tcW w:w="590" w:type="pct"/>
            <w:noWrap w:val="0"/>
            <w:vAlign w:val="center"/>
          </w:tcPr>
          <w:p w14:paraId="36AD2094">
            <w:pPr>
              <w:pStyle w:val="17"/>
              <w:bidi w:val="0"/>
              <w:rPr>
                <w:rFonts w:hint="default"/>
              </w:rPr>
            </w:pPr>
            <w:r>
              <w:rPr>
                <w:rFonts w:hint="default"/>
              </w:rPr>
              <w:t>②</w:t>
            </w:r>
          </w:p>
        </w:tc>
        <w:tc>
          <w:tcPr>
            <w:tcW w:w="1324" w:type="pct"/>
            <w:noWrap w:val="0"/>
            <w:vAlign w:val="center"/>
          </w:tcPr>
          <w:p w14:paraId="29F5ABC3">
            <w:pPr>
              <w:pStyle w:val="17"/>
              <w:bidi w:val="0"/>
              <w:rPr>
                <w:rFonts w:hint="default"/>
              </w:rPr>
            </w:pPr>
            <w:r>
              <w:rPr>
                <w:rFonts w:hint="default"/>
              </w:rPr>
              <w:t>大阳岔</w:t>
            </w:r>
          </w:p>
        </w:tc>
        <w:tc>
          <w:tcPr>
            <w:tcW w:w="594" w:type="pct"/>
            <w:noWrap w:val="0"/>
            <w:vAlign w:val="center"/>
          </w:tcPr>
          <w:p w14:paraId="3B7B59EC">
            <w:pPr>
              <w:pStyle w:val="17"/>
              <w:bidi w:val="0"/>
              <w:rPr>
                <w:rFonts w:hint="default"/>
              </w:rPr>
            </w:pPr>
            <w:r>
              <w:rPr>
                <w:rFonts w:hint="default"/>
              </w:rPr>
              <w:t>II</w:t>
            </w:r>
          </w:p>
        </w:tc>
        <w:tc>
          <w:tcPr>
            <w:tcW w:w="774" w:type="pct"/>
            <w:noWrap w:val="0"/>
            <w:vAlign w:val="center"/>
          </w:tcPr>
          <w:p w14:paraId="1005B501">
            <w:pPr>
              <w:pStyle w:val="17"/>
              <w:bidi w:val="0"/>
              <w:rPr>
                <w:rFonts w:hint="default"/>
              </w:rPr>
            </w:pPr>
            <w:r>
              <w:rPr>
                <w:rFonts w:hint="default"/>
              </w:rPr>
              <w:t>II</w:t>
            </w:r>
          </w:p>
        </w:tc>
        <w:tc>
          <w:tcPr>
            <w:tcW w:w="684" w:type="pct"/>
            <w:noWrap w:val="0"/>
            <w:vAlign w:val="center"/>
          </w:tcPr>
          <w:p w14:paraId="61DBE115">
            <w:pPr>
              <w:overflowPunct w:val="0"/>
              <w:spacing w:line="320" w:lineRule="exact"/>
              <w:ind w:firstLine="0" w:firstLineChars="0"/>
              <w:jc w:val="center"/>
              <w:rPr>
                <w:rFonts w:hint="default"/>
              </w:rPr>
            </w:pPr>
            <w:r>
              <w:rPr>
                <w:rFonts w:hint="eastAsia" w:cs="Times New Roman"/>
                <w:sz w:val="21"/>
                <w:szCs w:val="21"/>
              </w:rPr>
              <w:t>预期性</w:t>
            </w:r>
          </w:p>
        </w:tc>
      </w:tr>
      <w:tr w14:paraId="054A0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continue"/>
            <w:noWrap w:val="0"/>
            <w:vAlign w:val="center"/>
          </w:tcPr>
          <w:p w14:paraId="051E8B61">
            <w:pPr>
              <w:pStyle w:val="17"/>
              <w:bidi w:val="0"/>
              <w:rPr>
                <w:rFonts w:hint="default"/>
              </w:rPr>
            </w:pPr>
          </w:p>
        </w:tc>
        <w:tc>
          <w:tcPr>
            <w:tcW w:w="531" w:type="pct"/>
            <w:vMerge w:val="continue"/>
            <w:noWrap w:val="0"/>
            <w:vAlign w:val="center"/>
          </w:tcPr>
          <w:p w14:paraId="5850BF72">
            <w:pPr>
              <w:pStyle w:val="17"/>
              <w:bidi w:val="0"/>
              <w:rPr>
                <w:rFonts w:hint="default"/>
              </w:rPr>
            </w:pPr>
          </w:p>
        </w:tc>
        <w:tc>
          <w:tcPr>
            <w:tcW w:w="590" w:type="pct"/>
            <w:noWrap w:val="0"/>
            <w:vAlign w:val="center"/>
          </w:tcPr>
          <w:p w14:paraId="77E292FF">
            <w:pPr>
              <w:pStyle w:val="17"/>
              <w:bidi w:val="0"/>
              <w:rPr>
                <w:rFonts w:hint="default"/>
              </w:rPr>
            </w:pPr>
            <w:r>
              <w:rPr>
                <w:rFonts w:hint="default"/>
              </w:rPr>
              <w:t>③</w:t>
            </w:r>
          </w:p>
        </w:tc>
        <w:tc>
          <w:tcPr>
            <w:tcW w:w="1324" w:type="pct"/>
            <w:noWrap w:val="0"/>
            <w:vAlign w:val="center"/>
          </w:tcPr>
          <w:p w14:paraId="67B80B2A">
            <w:pPr>
              <w:pStyle w:val="17"/>
              <w:bidi w:val="0"/>
              <w:rPr>
                <w:rFonts w:hint="default"/>
              </w:rPr>
            </w:pPr>
            <w:r>
              <w:rPr>
                <w:rFonts w:hint="default"/>
              </w:rPr>
              <w:t>西村</w:t>
            </w:r>
          </w:p>
        </w:tc>
        <w:tc>
          <w:tcPr>
            <w:tcW w:w="594" w:type="pct"/>
            <w:noWrap w:val="0"/>
            <w:vAlign w:val="center"/>
          </w:tcPr>
          <w:p w14:paraId="1B54E605">
            <w:pPr>
              <w:pStyle w:val="17"/>
              <w:bidi w:val="0"/>
              <w:rPr>
                <w:rFonts w:hint="default"/>
              </w:rPr>
            </w:pPr>
            <w:r>
              <w:rPr>
                <w:rFonts w:hint="default"/>
              </w:rPr>
              <w:t>Ⅲ</w:t>
            </w:r>
          </w:p>
        </w:tc>
        <w:tc>
          <w:tcPr>
            <w:tcW w:w="774" w:type="pct"/>
            <w:noWrap w:val="0"/>
            <w:vAlign w:val="center"/>
          </w:tcPr>
          <w:p w14:paraId="26B6EB10">
            <w:pPr>
              <w:pStyle w:val="17"/>
              <w:bidi w:val="0"/>
              <w:rPr>
                <w:rFonts w:hint="default"/>
              </w:rPr>
            </w:pPr>
            <w:r>
              <w:rPr>
                <w:rFonts w:hint="default"/>
              </w:rPr>
              <w:t>Ⅲ</w:t>
            </w:r>
          </w:p>
        </w:tc>
        <w:tc>
          <w:tcPr>
            <w:tcW w:w="684" w:type="pct"/>
            <w:noWrap w:val="0"/>
            <w:vAlign w:val="center"/>
          </w:tcPr>
          <w:p w14:paraId="10456F07">
            <w:pPr>
              <w:overflowPunct w:val="0"/>
              <w:spacing w:line="320" w:lineRule="exact"/>
              <w:ind w:firstLine="0" w:firstLineChars="0"/>
              <w:jc w:val="center"/>
              <w:rPr>
                <w:rFonts w:hint="default"/>
              </w:rPr>
            </w:pPr>
            <w:r>
              <w:rPr>
                <w:rFonts w:hint="eastAsia" w:cs="Times New Roman"/>
                <w:sz w:val="21"/>
                <w:szCs w:val="21"/>
              </w:rPr>
              <w:t>预期性</w:t>
            </w:r>
          </w:p>
        </w:tc>
      </w:tr>
      <w:tr w14:paraId="33204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continue"/>
            <w:noWrap w:val="0"/>
            <w:vAlign w:val="center"/>
          </w:tcPr>
          <w:p w14:paraId="0C1BFD2D">
            <w:pPr>
              <w:pStyle w:val="17"/>
              <w:bidi w:val="0"/>
              <w:rPr>
                <w:rFonts w:hint="default"/>
              </w:rPr>
            </w:pPr>
          </w:p>
        </w:tc>
        <w:tc>
          <w:tcPr>
            <w:tcW w:w="531" w:type="pct"/>
            <w:noWrap w:val="0"/>
            <w:vAlign w:val="center"/>
          </w:tcPr>
          <w:p w14:paraId="194406FA">
            <w:pPr>
              <w:pStyle w:val="17"/>
              <w:bidi w:val="0"/>
              <w:rPr>
                <w:rFonts w:hint="default"/>
              </w:rPr>
            </w:pPr>
            <w:r>
              <w:rPr>
                <w:rFonts w:hint="default"/>
              </w:rPr>
              <w:t>松花江</w:t>
            </w:r>
          </w:p>
        </w:tc>
        <w:tc>
          <w:tcPr>
            <w:tcW w:w="590" w:type="pct"/>
            <w:noWrap w:val="0"/>
            <w:vAlign w:val="center"/>
          </w:tcPr>
          <w:p w14:paraId="63E384E7">
            <w:pPr>
              <w:pStyle w:val="17"/>
              <w:bidi w:val="0"/>
              <w:rPr>
                <w:rFonts w:hint="default"/>
              </w:rPr>
            </w:pPr>
            <w:r>
              <w:rPr>
                <w:rFonts w:hint="default"/>
              </w:rPr>
              <w:t>①</w:t>
            </w:r>
          </w:p>
        </w:tc>
        <w:tc>
          <w:tcPr>
            <w:tcW w:w="1324" w:type="pct"/>
            <w:noWrap w:val="0"/>
            <w:vAlign w:val="center"/>
          </w:tcPr>
          <w:p w14:paraId="1C438270">
            <w:pPr>
              <w:pStyle w:val="17"/>
              <w:bidi w:val="0"/>
              <w:rPr>
                <w:rFonts w:hint="default"/>
              </w:rPr>
            </w:pPr>
            <w:r>
              <w:rPr>
                <w:rFonts w:hint="default"/>
              </w:rPr>
              <w:t>参乡一号桥</w:t>
            </w:r>
          </w:p>
        </w:tc>
        <w:tc>
          <w:tcPr>
            <w:tcW w:w="594" w:type="pct"/>
            <w:noWrap w:val="0"/>
            <w:vAlign w:val="center"/>
          </w:tcPr>
          <w:p w14:paraId="68285C12">
            <w:pPr>
              <w:pStyle w:val="17"/>
              <w:bidi w:val="0"/>
              <w:rPr>
                <w:rFonts w:hint="default"/>
              </w:rPr>
            </w:pPr>
            <w:r>
              <w:rPr>
                <w:rFonts w:hint="default"/>
              </w:rPr>
              <w:t>Ⅲ</w:t>
            </w:r>
          </w:p>
        </w:tc>
        <w:tc>
          <w:tcPr>
            <w:tcW w:w="774" w:type="pct"/>
            <w:noWrap w:val="0"/>
            <w:vAlign w:val="center"/>
          </w:tcPr>
          <w:p w14:paraId="18C46AF5">
            <w:pPr>
              <w:pStyle w:val="17"/>
              <w:bidi w:val="0"/>
              <w:rPr>
                <w:rFonts w:hint="default"/>
              </w:rPr>
            </w:pPr>
            <w:r>
              <w:rPr>
                <w:rFonts w:hint="default"/>
              </w:rPr>
              <w:t>Ⅲ</w:t>
            </w:r>
          </w:p>
        </w:tc>
        <w:tc>
          <w:tcPr>
            <w:tcW w:w="684" w:type="pct"/>
            <w:noWrap w:val="0"/>
            <w:vAlign w:val="center"/>
          </w:tcPr>
          <w:p w14:paraId="58C24E0D">
            <w:pPr>
              <w:overflowPunct w:val="0"/>
              <w:spacing w:line="320" w:lineRule="exact"/>
              <w:ind w:firstLine="0" w:firstLineChars="0"/>
              <w:jc w:val="center"/>
              <w:rPr>
                <w:rFonts w:hint="default"/>
              </w:rPr>
            </w:pPr>
            <w:r>
              <w:rPr>
                <w:rFonts w:hint="eastAsia" w:cs="Times New Roman"/>
                <w:sz w:val="21"/>
                <w:szCs w:val="21"/>
              </w:rPr>
              <w:t>预期性</w:t>
            </w:r>
          </w:p>
        </w:tc>
      </w:tr>
      <w:tr w14:paraId="149B2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continue"/>
            <w:noWrap w:val="0"/>
            <w:vAlign w:val="center"/>
          </w:tcPr>
          <w:p w14:paraId="3297AA09">
            <w:pPr>
              <w:pStyle w:val="17"/>
              <w:bidi w:val="0"/>
              <w:rPr>
                <w:rFonts w:hint="default"/>
              </w:rPr>
            </w:pPr>
          </w:p>
        </w:tc>
        <w:tc>
          <w:tcPr>
            <w:tcW w:w="531" w:type="pct"/>
            <w:noWrap w:val="0"/>
            <w:vAlign w:val="center"/>
          </w:tcPr>
          <w:p w14:paraId="2B856D99">
            <w:pPr>
              <w:pStyle w:val="17"/>
              <w:bidi w:val="0"/>
              <w:rPr>
                <w:rFonts w:hint="default"/>
              </w:rPr>
            </w:pPr>
            <w:r>
              <w:rPr>
                <w:rFonts w:hint="default"/>
              </w:rPr>
              <w:t>4</w:t>
            </w:r>
          </w:p>
        </w:tc>
        <w:tc>
          <w:tcPr>
            <w:tcW w:w="1914" w:type="pct"/>
            <w:gridSpan w:val="2"/>
            <w:noWrap w:val="0"/>
            <w:vAlign w:val="center"/>
          </w:tcPr>
          <w:p w14:paraId="30A0B192">
            <w:pPr>
              <w:pStyle w:val="17"/>
              <w:bidi w:val="0"/>
              <w:rPr>
                <w:rFonts w:hint="default"/>
              </w:rPr>
            </w:pPr>
            <w:r>
              <w:rPr>
                <w:rFonts w:hint="default"/>
              </w:rPr>
              <w:t>城市集中式饮用水水源达到或优于Ⅲ类比例（%）</w:t>
            </w:r>
          </w:p>
        </w:tc>
        <w:tc>
          <w:tcPr>
            <w:tcW w:w="594" w:type="pct"/>
            <w:noWrap w:val="0"/>
            <w:vAlign w:val="center"/>
          </w:tcPr>
          <w:p w14:paraId="64126A34">
            <w:pPr>
              <w:pStyle w:val="17"/>
              <w:bidi w:val="0"/>
              <w:rPr>
                <w:rFonts w:hint="default"/>
              </w:rPr>
            </w:pPr>
            <w:r>
              <w:rPr>
                <w:rFonts w:hint="default"/>
              </w:rPr>
              <w:t>100</w:t>
            </w:r>
          </w:p>
        </w:tc>
        <w:tc>
          <w:tcPr>
            <w:tcW w:w="774" w:type="pct"/>
            <w:noWrap w:val="0"/>
            <w:vAlign w:val="center"/>
          </w:tcPr>
          <w:p w14:paraId="5391A487">
            <w:pPr>
              <w:pStyle w:val="17"/>
              <w:bidi w:val="0"/>
              <w:rPr>
                <w:rFonts w:hint="default"/>
              </w:rPr>
            </w:pPr>
            <w:r>
              <w:rPr>
                <w:rFonts w:hint="default"/>
              </w:rPr>
              <w:t>100</w:t>
            </w:r>
          </w:p>
        </w:tc>
        <w:tc>
          <w:tcPr>
            <w:tcW w:w="684" w:type="pct"/>
            <w:noWrap w:val="0"/>
            <w:vAlign w:val="center"/>
          </w:tcPr>
          <w:p w14:paraId="60C1A42B">
            <w:pPr>
              <w:overflowPunct w:val="0"/>
              <w:spacing w:line="320" w:lineRule="exact"/>
              <w:ind w:firstLine="0" w:firstLineChars="0"/>
              <w:jc w:val="center"/>
              <w:rPr>
                <w:rFonts w:hint="default"/>
              </w:rPr>
            </w:pPr>
            <w:r>
              <w:rPr>
                <w:rFonts w:hint="eastAsia" w:cs="Times New Roman"/>
                <w:sz w:val="21"/>
                <w:szCs w:val="21"/>
              </w:rPr>
              <w:t>约束性</w:t>
            </w:r>
          </w:p>
        </w:tc>
      </w:tr>
      <w:tr w14:paraId="5018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noWrap w:val="0"/>
            <w:vAlign w:val="center"/>
          </w:tcPr>
          <w:p w14:paraId="422206EE">
            <w:pPr>
              <w:pStyle w:val="17"/>
              <w:bidi w:val="0"/>
              <w:rPr>
                <w:rFonts w:hint="default"/>
              </w:rPr>
            </w:pPr>
            <w:r>
              <w:rPr>
                <w:rFonts w:hint="default"/>
              </w:rPr>
              <w:t>水资源</w:t>
            </w:r>
          </w:p>
        </w:tc>
        <w:tc>
          <w:tcPr>
            <w:tcW w:w="531" w:type="pct"/>
            <w:noWrap w:val="0"/>
            <w:vAlign w:val="center"/>
          </w:tcPr>
          <w:p w14:paraId="07B59DBE">
            <w:pPr>
              <w:pStyle w:val="17"/>
              <w:bidi w:val="0"/>
              <w:rPr>
                <w:rFonts w:hint="default"/>
              </w:rPr>
            </w:pPr>
            <w:r>
              <w:rPr>
                <w:rFonts w:hint="default"/>
              </w:rPr>
              <w:t>5</w:t>
            </w:r>
          </w:p>
        </w:tc>
        <w:tc>
          <w:tcPr>
            <w:tcW w:w="1914" w:type="pct"/>
            <w:gridSpan w:val="2"/>
            <w:noWrap w:val="0"/>
            <w:vAlign w:val="center"/>
          </w:tcPr>
          <w:p w14:paraId="23168515">
            <w:pPr>
              <w:pStyle w:val="17"/>
              <w:bidi w:val="0"/>
              <w:rPr>
                <w:rFonts w:hint="default"/>
              </w:rPr>
            </w:pPr>
            <w:r>
              <w:rPr>
                <w:rFonts w:hint="default"/>
              </w:rPr>
              <w:t>达到生态流量（水位）底线要求河湖数量（个）</w:t>
            </w:r>
          </w:p>
        </w:tc>
        <w:tc>
          <w:tcPr>
            <w:tcW w:w="594" w:type="pct"/>
            <w:noWrap w:val="0"/>
            <w:vAlign w:val="center"/>
          </w:tcPr>
          <w:p w14:paraId="2DE3EB43">
            <w:pPr>
              <w:pStyle w:val="17"/>
              <w:bidi w:val="0"/>
              <w:rPr>
                <w:rFonts w:hint="default"/>
              </w:rPr>
            </w:pPr>
            <w:r>
              <w:rPr>
                <w:rFonts w:hint="default"/>
              </w:rPr>
              <w:t>全部</w:t>
            </w:r>
          </w:p>
        </w:tc>
        <w:tc>
          <w:tcPr>
            <w:tcW w:w="774" w:type="pct"/>
            <w:noWrap w:val="0"/>
            <w:vAlign w:val="center"/>
          </w:tcPr>
          <w:p w14:paraId="020148D0">
            <w:pPr>
              <w:pStyle w:val="17"/>
              <w:bidi w:val="0"/>
              <w:rPr>
                <w:rFonts w:hint="default"/>
              </w:rPr>
            </w:pPr>
            <w:r>
              <w:rPr>
                <w:rFonts w:hint="default"/>
              </w:rPr>
              <w:t>全部</w:t>
            </w:r>
          </w:p>
        </w:tc>
        <w:tc>
          <w:tcPr>
            <w:tcW w:w="684" w:type="pct"/>
            <w:noWrap w:val="0"/>
            <w:vAlign w:val="center"/>
          </w:tcPr>
          <w:p w14:paraId="75BFE1FA">
            <w:pPr>
              <w:pStyle w:val="17"/>
              <w:bidi w:val="0"/>
              <w:rPr>
                <w:rFonts w:hint="default"/>
              </w:rPr>
            </w:pPr>
            <w:r>
              <w:rPr>
                <w:rFonts w:hint="eastAsia"/>
              </w:rPr>
              <w:t>预期性</w:t>
            </w:r>
          </w:p>
        </w:tc>
      </w:tr>
      <w:tr w14:paraId="1599F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restart"/>
            <w:noWrap w:val="0"/>
            <w:vAlign w:val="center"/>
          </w:tcPr>
          <w:p w14:paraId="5846BFB9">
            <w:pPr>
              <w:pStyle w:val="17"/>
              <w:bidi w:val="0"/>
              <w:rPr>
                <w:rFonts w:hint="default"/>
              </w:rPr>
            </w:pPr>
            <w:r>
              <w:rPr>
                <w:rFonts w:hint="default"/>
              </w:rPr>
              <w:t>水生态</w:t>
            </w:r>
          </w:p>
        </w:tc>
        <w:tc>
          <w:tcPr>
            <w:tcW w:w="531" w:type="pct"/>
            <w:noWrap w:val="0"/>
            <w:vAlign w:val="center"/>
          </w:tcPr>
          <w:p w14:paraId="585ECB40">
            <w:pPr>
              <w:pStyle w:val="17"/>
              <w:bidi w:val="0"/>
              <w:rPr>
                <w:rFonts w:hint="default"/>
              </w:rPr>
            </w:pPr>
            <w:r>
              <w:rPr>
                <w:rFonts w:hint="default"/>
              </w:rPr>
              <w:t>6</w:t>
            </w:r>
          </w:p>
        </w:tc>
        <w:tc>
          <w:tcPr>
            <w:tcW w:w="1914" w:type="pct"/>
            <w:gridSpan w:val="2"/>
            <w:noWrap w:val="0"/>
            <w:vAlign w:val="center"/>
          </w:tcPr>
          <w:p w14:paraId="6AB7A33B">
            <w:pPr>
              <w:pStyle w:val="17"/>
              <w:bidi w:val="0"/>
              <w:rPr>
                <w:rFonts w:hint="default"/>
              </w:rPr>
            </w:pPr>
            <w:r>
              <w:rPr>
                <w:rFonts w:hint="default"/>
              </w:rPr>
              <w:t>水生生物完整性指数</w:t>
            </w:r>
          </w:p>
        </w:tc>
        <w:tc>
          <w:tcPr>
            <w:tcW w:w="594" w:type="pct"/>
            <w:noWrap w:val="0"/>
            <w:vAlign w:val="center"/>
          </w:tcPr>
          <w:p w14:paraId="5EA22CFE">
            <w:pPr>
              <w:pStyle w:val="17"/>
              <w:bidi w:val="0"/>
              <w:rPr>
                <w:rFonts w:hint="default"/>
              </w:rPr>
            </w:pPr>
            <w:r>
              <w:rPr>
                <w:rFonts w:hint="default"/>
              </w:rPr>
              <w:t>/</w:t>
            </w:r>
          </w:p>
        </w:tc>
        <w:tc>
          <w:tcPr>
            <w:tcW w:w="774" w:type="pct"/>
            <w:noWrap w:val="0"/>
            <w:vAlign w:val="center"/>
          </w:tcPr>
          <w:p w14:paraId="40ED1467">
            <w:pPr>
              <w:pStyle w:val="17"/>
              <w:bidi w:val="0"/>
              <w:rPr>
                <w:rFonts w:hint="default"/>
              </w:rPr>
            </w:pPr>
            <w:r>
              <w:rPr>
                <w:rFonts w:hint="default"/>
              </w:rPr>
              <w:t>指示种群数量明显提升</w:t>
            </w:r>
          </w:p>
        </w:tc>
        <w:tc>
          <w:tcPr>
            <w:tcW w:w="684" w:type="pct"/>
            <w:noWrap w:val="0"/>
            <w:vAlign w:val="center"/>
          </w:tcPr>
          <w:p w14:paraId="578BA765">
            <w:pPr>
              <w:pStyle w:val="17"/>
              <w:bidi w:val="0"/>
              <w:rPr>
                <w:rFonts w:hint="default"/>
              </w:rPr>
            </w:pPr>
            <w:r>
              <w:rPr>
                <w:rFonts w:hint="eastAsia"/>
              </w:rPr>
              <w:t>预期性</w:t>
            </w:r>
          </w:p>
        </w:tc>
      </w:tr>
      <w:tr w14:paraId="1B87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continue"/>
            <w:noWrap w:val="0"/>
            <w:vAlign w:val="center"/>
          </w:tcPr>
          <w:p w14:paraId="49F1C2BA">
            <w:pPr>
              <w:pStyle w:val="17"/>
              <w:bidi w:val="0"/>
              <w:rPr>
                <w:rFonts w:hint="default"/>
              </w:rPr>
            </w:pPr>
          </w:p>
        </w:tc>
        <w:tc>
          <w:tcPr>
            <w:tcW w:w="531" w:type="pct"/>
            <w:noWrap w:val="0"/>
            <w:vAlign w:val="center"/>
          </w:tcPr>
          <w:p w14:paraId="2D58B725">
            <w:pPr>
              <w:pStyle w:val="17"/>
              <w:bidi w:val="0"/>
              <w:rPr>
                <w:rFonts w:hint="default"/>
              </w:rPr>
            </w:pPr>
            <w:r>
              <w:rPr>
                <w:rFonts w:hint="default"/>
              </w:rPr>
              <w:t>7</w:t>
            </w:r>
          </w:p>
        </w:tc>
        <w:tc>
          <w:tcPr>
            <w:tcW w:w="1914" w:type="pct"/>
            <w:gridSpan w:val="2"/>
            <w:noWrap w:val="0"/>
            <w:vAlign w:val="center"/>
          </w:tcPr>
          <w:p w14:paraId="5C8A0972">
            <w:pPr>
              <w:pStyle w:val="17"/>
              <w:bidi w:val="0"/>
              <w:rPr>
                <w:rFonts w:hint="default"/>
              </w:rPr>
            </w:pPr>
            <w:r>
              <w:rPr>
                <w:rFonts w:hint="default"/>
              </w:rPr>
              <w:t>河湖缓冲带生态修复长度（km）</w:t>
            </w:r>
          </w:p>
        </w:tc>
        <w:tc>
          <w:tcPr>
            <w:tcW w:w="594" w:type="pct"/>
            <w:noWrap w:val="0"/>
            <w:vAlign w:val="center"/>
          </w:tcPr>
          <w:p w14:paraId="2F214F30">
            <w:pPr>
              <w:pStyle w:val="17"/>
              <w:bidi w:val="0"/>
              <w:rPr>
                <w:rFonts w:hint="default"/>
              </w:rPr>
            </w:pPr>
            <w:r>
              <w:rPr>
                <w:rFonts w:hint="default"/>
              </w:rPr>
              <w:t>/</w:t>
            </w:r>
          </w:p>
        </w:tc>
        <w:tc>
          <w:tcPr>
            <w:tcW w:w="774" w:type="pct"/>
            <w:noWrap w:val="0"/>
            <w:vAlign w:val="center"/>
          </w:tcPr>
          <w:p w14:paraId="7ABAC297">
            <w:pPr>
              <w:pStyle w:val="17"/>
              <w:bidi w:val="0"/>
              <w:rPr>
                <w:rFonts w:hint="default"/>
              </w:rPr>
            </w:pPr>
            <w:r>
              <w:rPr>
                <w:rFonts w:hint="default"/>
              </w:rPr>
              <w:t>约8.9km</w:t>
            </w:r>
          </w:p>
        </w:tc>
        <w:tc>
          <w:tcPr>
            <w:tcW w:w="684" w:type="pct"/>
            <w:noWrap w:val="0"/>
            <w:vAlign w:val="center"/>
          </w:tcPr>
          <w:p w14:paraId="19BDD180">
            <w:pPr>
              <w:pStyle w:val="17"/>
              <w:bidi w:val="0"/>
              <w:rPr>
                <w:rFonts w:hint="default"/>
              </w:rPr>
            </w:pPr>
            <w:r>
              <w:rPr>
                <w:rFonts w:hint="eastAsia"/>
              </w:rPr>
              <w:t>预期性</w:t>
            </w:r>
          </w:p>
        </w:tc>
      </w:tr>
      <w:tr w14:paraId="5CE5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continue"/>
            <w:noWrap w:val="0"/>
            <w:vAlign w:val="center"/>
          </w:tcPr>
          <w:p w14:paraId="70453F02">
            <w:pPr>
              <w:pStyle w:val="17"/>
              <w:bidi w:val="0"/>
              <w:rPr>
                <w:rFonts w:hint="default"/>
              </w:rPr>
            </w:pPr>
          </w:p>
        </w:tc>
        <w:tc>
          <w:tcPr>
            <w:tcW w:w="531" w:type="pct"/>
            <w:noWrap w:val="0"/>
            <w:vAlign w:val="center"/>
          </w:tcPr>
          <w:p w14:paraId="767F6FAE">
            <w:pPr>
              <w:pStyle w:val="17"/>
              <w:bidi w:val="0"/>
              <w:rPr>
                <w:rFonts w:hint="default"/>
              </w:rPr>
            </w:pPr>
            <w:r>
              <w:rPr>
                <w:rFonts w:hint="default"/>
              </w:rPr>
              <w:t>8</w:t>
            </w:r>
          </w:p>
        </w:tc>
        <w:tc>
          <w:tcPr>
            <w:tcW w:w="1914" w:type="pct"/>
            <w:gridSpan w:val="2"/>
            <w:noWrap w:val="0"/>
            <w:vAlign w:val="center"/>
          </w:tcPr>
          <w:p w14:paraId="34936911">
            <w:pPr>
              <w:pStyle w:val="17"/>
              <w:bidi w:val="0"/>
              <w:rPr>
                <w:rFonts w:hint="default"/>
              </w:rPr>
            </w:pPr>
            <w:r>
              <w:rPr>
                <w:rFonts w:hint="default"/>
              </w:rPr>
              <w:t>湿地恢复（建设）面积（km</w:t>
            </w:r>
            <w:r>
              <w:rPr>
                <w:rFonts w:hint="default"/>
                <w:vertAlign w:val="superscript"/>
              </w:rPr>
              <w:t>2</w:t>
            </w:r>
            <w:r>
              <w:rPr>
                <w:rFonts w:hint="default"/>
              </w:rPr>
              <w:t>）</w:t>
            </w:r>
          </w:p>
        </w:tc>
        <w:tc>
          <w:tcPr>
            <w:tcW w:w="594" w:type="pct"/>
            <w:noWrap w:val="0"/>
            <w:vAlign w:val="center"/>
          </w:tcPr>
          <w:p w14:paraId="28D66FCC">
            <w:pPr>
              <w:pStyle w:val="17"/>
              <w:bidi w:val="0"/>
              <w:rPr>
                <w:rFonts w:hint="default"/>
              </w:rPr>
            </w:pPr>
            <w:r>
              <w:rPr>
                <w:rFonts w:hint="default"/>
              </w:rPr>
              <w:t>/</w:t>
            </w:r>
          </w:p>
        </w:tc>
        <w:tc>
          <w:tcPr>
            <w:tcW w:w="774" w:type="pct"/>
            <w:noWrap w:val="0"/>
            <w:vAlign w:val="center"/>
          </w:tcPr>
          <w:p w14:paraId="6FB721AB">
            <w:pPr>
              <w:pStyle w:val="17"/>
              <w:bidi w:val="0"/>
              <w:rPr>
                <w:rFonts w:hint="default"/>
              </w:rPr>
            </w:pPr>
            <w:r>
              <w:rPr>
                <w:rFonts w:hint="default"/>
              </w:rPr>
              <w:t>/</w:t>
            </w:r>
          </w:p>
        </w:tc>
        <w:tc>
          <w:tcPr>
            <w:tcW w:w="684" w:type="pct"/>
            <w:noWrap w:val="0"/>
            <w:vAlign w:val="center"/>
          </w:tcPr>
          <w:p w14:paraId="5973005E">
            <w:pPr>
              <w:pStyle w:val="17"/>
              <w:bidi w:val="0"/>
              <w:rPr>
                <w:rFonts w:hint="default"/>
              </w:rPr>
            </w:pPr>
            <w:r>
              <w:rPr>
                <w:rFonts w:hint="eastAsia"/>
              </w:rPr>
              <w:t>预期性</w:t>
            </w:r>
          </w:p>
        </w:tc>
      </w:tr>
      <w:tr w14:paraId="75F7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noWrap w:val="0"/>
            <w:vAlign w:val="center"/>
          </w:tcPr>
          <w:p w14:paraId="563F8684">
            <w:pPr>
              <w:pStyle w:val="17"/>
              <w:bidi w:val="0"/>
              <w:rPr>
                <w:rFonts w:hint="default"/>
                <w:b/>
                <w:bCs/>
              </w:rPr>
            </w:pPr>
            <w:r>
              <w:rPr>
                <w:rFonts w:hint="default"/>
                <w:b/>
                <w:bCs/>
              </w:rPr>
              <w:t>类别</w:t>
            </w:r>
          </w:p>
        </w:tc>
        <w:tc>
          <w:tcPr>
            <w:tcW w:w="531" w:type="pct"/>
            <w:noWrap w:val="0"/>
            <w:vAlign w:val="center"/>
          </w:tcPr>
          <w:p w14:paraId="30CA52D0">
            <w:pPr>
              <w:pStyle w:val="17"/>
              <w:bidi w:val="0"/>
              <w:rPr>
                <w:rFonts w:hint="default"/>
                <w:b/>
                <w:bCs/>
              </w:rPr>
            </w:pPr>
            <w:r>
              <w:rPr>
                <w:rFonts w:hint="default"/>
                <w:b/>
                <w:bCs/>
              </w:rPr>
              <w:t>序号</w:t>
            </w:r>
          </w:p>
        </w:tc>
        <w:tc>
          <w:tcPr>
            <w:tcW w:w="1914" w:type="pct"/>
            <w:gridSpan w:val="2"/>
            <w:noWrap w:val="0"/>
            <w:vAlign w:val="center"/>
          </w:tcPr>
          <w:p w14:paraId="5CC1AAAC">
            <w:pPr>
              <w:pStyle w:val="17"/>
              <w:bidi w:val="0"/>
              <w:rPr>
                <w:rFonts w:hint="default"/>
                <w:b/>
                <w:bCs/>
              </w:rPr>
            </w:pPr>
            <w:r>
              <w:rPr>
                <w:rFonts w:hint="default"/>
                <w:b/>
                <w:bCs/>
              </w:rPr>
              <w:t>亲民指标</w:t>
            </w:r>
          </w:p>
        </w:tc>
        <w:tc>
          <w:tcPr>
            <w:tcW w:w="594" w:type="pct"/>
            <w:noWrap w:val="0"/>
            <w:vAlign w:val="center"/>
          </w:tcPr>
          <w:p w14:paraId="090460FD">
            <w:pPr>
              <w:pStyle w:val="17"/>
              <w:bidi w:val="0"/>
              <w:rPr>
                <w:rFonts w:hint="default"/>
                <w:b/>
                <w:bCs/>
              </w:rPr>
            </w:pPr>
            <w:r>
              <w:rPr>
                <w:rFonts w:hint="default"/>
                <w:b/>
                <w:bCs/>
              </w:rPr>
              <w:t>2020年</w:t>
            </w:r>
          </w:p>
        </w:tc>
        <w:tc>
          <w:tcPr>
            <w:tcW w:w="774" w:type="pct"/>
            <w:noWrap w:val="0"/>
            <w:vAlign w:val="center"/>
          </w:tcPr>
          <w:p w14:paraId="10511EAC">
            <w:pPr>
              <w:pStyle w:val="17"/>
              <w:bidi w:val="0"/>
              <w:rPr>
                <w:rFonts w:hint="default"/>
                <w:b/>
                <w:bCs/>
              </w:rPr>
            </w:pPr>
            <w:r>
              <w:rPr>
                <w:rFonts w:hint="default"/>
                <w:b/>
                <w:bCs/>
              </w:rPr>
              <w:t>2025年</w:t>
            </w:r>
          </w:p>
        </w:tc>
        <w:tc>
          <w:tcPr>
            <w:tcW w:w="684" w:type="pct"/>
            <w:noWrap w:val="0"/>
            <w:vAlign w:val="center"/>
          </w:tcPr>
          <w:p w14:paraId="55BBC443">
            <w:pPr>
              <w:pStyle w:val="17"/>
              <w:bidi w:val="0"/>
              <w:rPr>
                <w:rFonts w:hint="default"/>
                <w:b/>
                <w:bCs/>
              </w:rPr>
            </w:pPr>
            <w:r>
              <w:rPr>
                <w:rFonts w:hint="eastAsia" w:cs="Times New Roman"/>
                <w:b/>
                <w:sz w:val="21"/>
                <w:szCs w:val="21"/>
              </w:rPr>
              <w:t>指标类型</w:t>
            </w:r>
          </w:p>
        </w:tc>
      </w:tr>
      <w:tr w14:paraId="001D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noWrap w:val="0"/>
            <w:vAlign w:val="center"/>
          </w:tcPr>
          <w:p w14:paraId="558E4747">
            <w:pPr>
              <w:pStyle w:val="17"/>
              <w:bidi w:val="0"/>
              <w:rPr>
                <w:rFonts w:hint="default"/>
              </w:rPr>
            </w:pPr>
            <w:r>
              <w:rPr>
                <w:rFonts w:hint="default"/>
              </w:rPr>
              <w:t>水环境</w:t>
            </w:r>
          </w:p>
        </w:tc>
        <w:tc>
          <w:tcPr>
            <w:tcW w:w="531" w:type="pct"/>
            <w:noWrap w:val="0"/>
            <w:vAlign w:val="center"/>
          </w:tcPr>
          <w:p w14:paraId="18785BDC">
            <w:pPr>
              <w:pStyle w:val="17"/>
              <w:bidi w:val="0"/>
              <w:rPr>
                <w:rFonts w:hint="default"/>
              </w:rPr>
            </w:pPr>
            <w:r>
              <w:rPr>
                <w:rFonts w:hint="default"/>
              </w:rPr>
              <w:t>1</w:t>
            </w:r>
          </w:p>
        </w:tc>
        <w:tc>
          <w:tcPr>
            <w:tcW w:w="1914" w:type="pct"/>
            <w:gridSpan w:val="2"/>
            <w:noWrap w:val="0"/>
            <w:vAlign w:val="center"/>
          </w:tcPr>
          <w:p w14:paraId="1F068469">
            <w:pPr>
              <w:pStyle w:val="17"/>
              <w:bidi w:val="0"/>
              <w:rPr>
                <w:rFonts w:hint="default"/>
              </w:rPr>
            </w:pPr>
            <w:r>
              <w:rPr>
                <w:rFonts w:hint="default"/>
              </w:rPr>
              <w:t>城市建成区黑臭水体控制比例（%）</w:t>
            </w:r>
          </w:p>
        </w:tc>
        <w:tc>
          <w:tcPr>
            <w:tcW w:w="594" w:type="pct"/>
            <w:noWrap w:val="0"/>
            <w:vAlign w:val="center"/>
          </w:tcPr>
          <w:p w14:paraId="485D6017">
            <w:pPr>
              <w:pStyle w:val="17"/>
              <w:bidi w:val="0"/>
              <w:rPr>
                <w:rFonts w:hint="default"/>
              </w:rPr>
            </w:pPr>
            <w:r>
              <w:rPr>
                <w:rFonts w:hint="default"/>
              </w:rPr>
              <w:t>0</w:t>
            </w:r>
          </w:p>
        </w:tc>
        <w:tc>
          <w:tcPr>
            <w:tcW w:w="774" w:type="pct"/>
            <w:noWrap w:val="0"/>
            <w:vAlign w:val="center"/>
          </w:tcPr>
          <w:p w14:paraId="64AB1BD6">
            <w:pPr>
              <w:pStyle w:val="17"/>
              <w:bidi w:val="0"/>
              <w:rPr>
                <w:rFonts w:hint="default"/>
              </w:rPr>
            </w:pPr>
            <w:r>
              <w:rPr>
                <w:rFonts w:hint="default"/>
              </w:rPr>
              <w:t>0</w:t>
            </w:r>
          </w:p>
        </w:tc>
        <w:tc>
          <w:tcPr>
            <w:tcW w:w="684" w:type="pct"/>
            <w:noWrap w:val="0"/>
            <w:vAlign w:val="center"/>
          </w:tcPr>
          <w:p w14:paraId="6BF811C5">
            <w:pPr>
              <w:overflowPunct w:val="0"/>
              <w:spacing w:line="320" w:lineRule="exact"/>
              <w:ind w:firstLine="0" w:firstLineChars="0"/>
              <w:jc w:val="center"/>
              <w:rPr>
                <w:rFonts w:hint="default"/>
              </w:rPr>
            </w:pPr>
            <w:r>
              <w:rPr>
                <w:rFonts w:hint="eastAsia" w:cs="Times New Roman"/>
                <w:sz w:val="21"/>
                <w:szCs w:val="21"/>
              </w:rPr>
              <w:t>预期性</w:t>
            </w:r>
          </w:p>
        </w:tc>
      </w:tr>
      <w:tr w14:paraId="0CCAF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noWrap w:val="0"/>
            <w:vAlign w:val="center"/>
          </w:tcPr>
          <w:p w14:paraId="427ADEDD">
            <w:pPr>
              <w:pStyle w:val="17"/>
              <w:bidi w:val="0"/>
              <w:rPr>
                <w:rFonts w:hint="default"/>
              </w:rPr>
            </w:pPr>
            <w:r>
              <w:rPr>
                <w:rFonts w:hint="default"/>
              </w:rPr>
              <w:t>水资源</w:t>
            </w:r>
          </w:p>
        </w:tc>
        <w:tc>
          <w:tcPr>
            <w:tcW w:w="531" w:type="pct"/>
            <w:noWrap w:val="0"/>
            <w:vAlign w:val="center"/>
          </w:tcPr>
          <w:p w14:paraId="1CDE0AE5">
            <w:pPr>
              <w:pStyle w:val="17"/>
              <w:bidi w:val="0"/>
              <w:rPr>
                <w:rFonts w:hint="default"/>
              </w:rPr>
            </w:pPr>
            <w:r>
              <w:rPr>
                <w:rFonts w:hint="default"/>
              </w:rPr>
              <w:t>2</w:t>
            </w:r>
          </w:p>
        </w:tc>
        <w:tc>
          <w:tcPr>
            <w:tcW w:w="1914" w:type="pct"/>
            <w:gridSpan w:val="2"/>
            <w:noWrap w:val="0"/>
            <w:vAlign w:val="center"/>
          </w:tcPr>
          <w:p w14:paraId="0788D5CB">
            <w:pPr>
              <w:pStyle w:val="17"/>
              <w:bidi w:val="0"/>
              <w:rPr>
                <w:rFonts w:hint="default"/>
              </w:rPr>
            </w:pPr>
            <w:r>
              <w:rPr>
                <w:rFonts w:hint="default"/>
              </w:rPr>
              <w:t>恢复“有水”的河流长度（km）</w:t>
            </w:r>
          </w:p>
        </w:tc>
        <w:tc>
          <w:tcPr>
            <w:tcW w:w="594" w:type="pct"/>
            <w:noWrap w:val="0"/>
            <w:vAlign w:val="center"/>
          </w:tcPr>
          <w:p w14:paraId="0625B69A">
            <w:pPr>
              <w:pStyle w:val="17"/>
              <w:bidi w:val="0"/>
              <w:rPr>
                <w:rFonts w:hint="default"/>
              </w:rPr>
            </w:pPr>
            <w:r>
              <w:rPr>
                <w:rFonts w:hint="default"/>
              </w:rPr>
              <w:t>/</w:t>
            </w:r>
          </w:p>
        </w:tc>
        <w:tc>
          <w:tcPr>
            <w:tcW w:w="774" w:type="pct"/>
            <w:noWrap w:val="0"/>
            <w:vAlign w:val="center"/>
          </w:tcPr>
          <w:p w14:paraId="21960336">
            <w:pPr>
              <w:pStyle w:val="17"/>
              <w:bidi w:val="0"/>
              <w:rPr>
                <w:rFonts w:hint="default"/>
              </w:rPr>
            </w:pPr>
            <w:r>
              <w:rPr>
                <w:rFonts w:hint="default"/>
              </w:rPr>
              <w:t>/</w:t>
            </w:r>
          </w:p>
        </w:tc>
        <w:tc>
          <w:tcPr>
            <w:tcW w:w="684" w:type="pct"/>
            <w:noWrap w:val="0"/>
            <w:vAlign w:val="center"/>
          </w:tcPr>
          <w:p w14:paraId="3C6BE231">
            <w:pPr>
              <w:overflowPunct w:val="0"/>
              <w:spacing w:line="320" w:lineRule="exact"/>
              <w:ind w:firstLine="0" w:firstLineChars="0"/>
              <w:jc w:val="center"/>
              <w:rPr>
                <w:rFonts w:hint="default"/>
              </w:rPr>
            </w:pPr>
            <w:r>
              <w:rPr>
                <w:rFonts w:hint="eastAsia" w:cs="Times New Roman"/>
                <w:sz w:val="21"/>
                <w:szCs w:val="21"/>
              </w:rPr>
              <w:t>预期性</w:t>
            </w:r>
          </w:p>
        </w:tc>
      </w:tr>
      <w:tr w14:paraId="1C33E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noWrap w:val="0"/>
            <w:vAlign w:val="center"/>
          </w:tcPr>
          <w:p w14:paraId="7575F281">
            <w:pPr>
              <w:pStyle w:val="17"/>
              <w:bidi w:val="0"/>
              <w:rPr>
                <w:rFonts w:hint="default"/>
              </w:rPr>
            </w:pPr>
            <w:r>
              <w:rPr>
                <w:rFonts w:hint="default"/>
              </w:rPr>
              <w:t>水生态</w:t>
            </w:r>
          </w:p>
        </w:tc>
        <w:tc>
          <w:tcPr>
            <w:tcW w:w="531" w:type="pct"/>
            <w:noWrap w:val="0"/>
            <w:vAlign w:val="center"/>
          </w:tcPr>
          <w:p w14:paraId="62F56367">
            <w:pPr>
              <w:pStyle w:val="17"/>
              <w:bidi w:val="0"/>
              <w:rPr>
                <w:rFonts w:hint="default"/>
              </w:rPr>
            </w:pPr>
            <w:r>
              <w:rPr>
                <w:rFonts w:hint="default"/>
              </w:rPr>
              <w:t>3</w:t>
            </w:r>
          </w:p>
        </w:tc>
        <w:tc>
          <w:tcPr>
            <w:tcW w:w="1914" w:type="pct"/>
            <w:gridSpan w:val="2"/>
            <w:noWrap w:val="0"/>
            <w:vAlign w:val="center"/>
          </w:tcPr>
          <w:p w14:paraId="2050806D">
            <w:pPr>
              <w:pStyle w:val="17"/>
              <w:bidi w:val="0"/>
              <w:rPr>
                <w:rFonts w:hint="default"/>
              </w:rPr>
            </w:pPr>
            <w:r>
              <w:rPr>
                <w:rFonts w:hint="default"/>
              </w:rPr>
              <w:t>实现土著鱼类或水生植物种群丰度提升</w:t>
            </w:r>
          </w:p>
        </w:tc>
        <w:tc>
          <w:tcPr>
            <w:tcW w:w="594" w:type="pct"/>
            <w:noWrap w:val="0"/>
            <w:vAlign w:val="center"/>
          </w:tcPr>
          <w:p w14:paraId="63DAC7D1">
            <w:pPr>
              <w:pStyle w:val="17"/>
              <w:bidi w:val="0"/>
              <w:rPr>
                <w:rFonts w:hint="default"/>
              </w:rPr>
            </w:pPr>
            <w:r>
              <w:rPr>
                <w:rFonts w:hint="default"/>
              </w:rPr>
              <w:t>/</w:t>
            </w:r>
          </w:p>
        </w:tc>
        <w:tc>
          <w:tcPr>
            <w:tcW w:w="774" w:type="pct"/>
            <w:noWrap w:val="0"/>
            <w:vAlign w:val="center"/>
          </w:tcPr>
          <w:p w14:paraId="3ADDC9D1">
            <w:pPr>
              <w:pStyle w:val="17"/>
              <w:bidi w:val="0"/>
              <w:rPr>
                <w:rFonts w:hint="default"/>
              </w:rPr>
            </w:pPr>
            <w:r>
              <w:rPr>
                <w:rFonts w:hint="default"/>
              </w:rPr>
              <w:t>恢复种群密度</w:t>
            </w:r>
          </w:p>
        </w:tc>
        <w:tc>
          <w:tcPr>
            <w:tcW w:w="684" w:type="pct"/>
            <w:noWrap w:val="0"/>
            <w:vAlign w:val="center"/>
          </w:tcPr>
          <w:p w14:paraId="588C1045">
            <w:pPr>
              <w:overflowPunct w:val="0"/>
              <w:spacing w:line="320" w:lineRule="exact"/>
              <w:ind w:firstLine="0" w:firstLineChars="0"/>
              <w:jc w:val="center"/>
              <w:rPr>
                <w:rFonts w:hint="default"/>
              </w:rPr>
            </w:pPr>
            <w:r>
              <w:rPr>
                <w:rFonts w:hint="eastAsia" w:cs="Times New Roman"/>
                <w:sz w:val="21"/>
                <w:szCs w:val="21"/>
              </w:rPr>
              <w:t>预期性</w:t>
            </w:r>
          </w:p>
        </w:tc>
      </w:tr>
    </w:tbl>
    <w:p w14:paraId="6793A221">
      <w:pPr>
        <w:pStyle w:val="2"/>
        <w:bidi w:val="0"/>
        <w:rPr>
          <w:rFonts w:hint="default"/>
        </w:rPr>
        <w:sectPr>
          <w:pgSz w:w="11906" w:h="16838"/>
          <w:pgMar w:top="1440" w:right="1800" w:bottom="1440" w:left="1800" w:header="851" w:footer="992" w:gutter="0"/>
          <w:pgNumType w:fmt="numberInDash"/>
          <w:cols w:space="0" w:num="1"/>
          <w:rtlGutter w:val="0"/>
          <w:docGrid w:type="lines" w:linePitch="332" w:charSpace="0"/>
        </w:sectPr>
      </w:pPr>
      <w:bookmarkStart w:id="88" w:name="_Toc82172423"/>
    </w:p>
    <w:p w14:paraId="3EFEBC1C">
      <w:pPr>
        <w:pStyle w:val="2"/>
        <w:bidi w:val="0"/>
        <w:rPr>
          <w:rFonts w:hint="default"/>
        </w:rPr>
      </w:pPr>
      <w:bookmarkStart w:id="89" w:name="_Toc22395"/>
      <w:r>
        <w:rPr>
          <w:rFonts w:hint="default"/>
        </w:rPr>
        <w:t>规划任务</w:t>
      </w:r>
      <w:bookmarkEnd w:id="88"/>
      <w:bookmarkEnd w:id="89"/>
    </w:p>
    <w:p w14:paraId="314EBDC5">
      <w:pPr>
        <w:pStyle w:val="3"/>
        <w:bidi w:val="0"/>
        <w:rPr>
          <w:rFonts w:hint="default"/>
        </w:rPr>
      </w:pPr>
      <w:bookmarkStart w:id="90" w:name="_Toc28106"/>
      <w:bookmarkStart w:id="91" w:name="_Toc82172424"/>
      <w:r>
        <w:rPr>
          <w:rFonts w:hint="default"/>
        </w:rPr>
        <w:t>江源（浑）/大阳岔断面汇水范围</w:t>
      </w:r>
      <w:bookmarkEnd w:id="90"/>
      <w:bookmarkEnd w:id="91"/>
    </w:p>
    <w:p w14:paraId="55849C32">
      <w:pPr>
        <w:pStyle w:val="4"/>
        <w:bidi w:val="0"/>
        <w:rPr>
          <w:rFonts w:hint="default"/>
        </w:rPr>
      </w:pPr>
      <w:bookmarkStart w:id="92" w:name="_Toc8012"/>
      <w:bookmarkStart w:id="93" w:name="_Toc82172425"/>
      <w:r>
        <w:rPr>
          <w:rFonts w:hint="default"/>
        </w:rPr>
        <w:t>提升城镇生活污水处理能力，部分管网进行改建</w:t>
      </w:r>
      <w:bookmarkEnd w:id="92"/>
      <w:bookmarkEnd w:id="93"/>
    </w:p>
    <w:p w14:paraId="2C8177E9">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针对江源（浑）/大阳岔汇水范围内存在的污水处理厂超负荷运行问题，在江源区进行城镇污水处理设施扩建以及农村污水综合治理，针对已有的江源污水处理厂，严格污水处理厂污泥无害化处理管控，防止污泥二次污染；针对其管网漏失问题，开展设施配套管网提升改造，维修漏损、断裂管网，提升雨污分流能力，铺设雨污分流管道，使城镇生活污水得到高效处理。</w:t>
      </w:r>
    </w:p>
    <w:p w14:paraId="7AE2862C">
      <w:pPr>
        <w:pStyle w:val="4"/>
        <w:bidi w:val="0"/>
        <w:rPr>
          <w:rFonts w:hint="default"/>
        </w:rPr>
      </w:pPr>
      <w:bookmarkStart w:id="94" w:name="_Toc82172426"/>
      <w:bookmarkStart w:id="95" w:name="_Toc15974"/>
      <w:r>
        <w:rPr>
          <w:rFonts w:hint="default"/>
        </w:rPr>
        <w:t>开展城区河岸亲水工程建设</w:t>
      </w:r>
      <w:bookmarkEnd w:id="94"/>
      <w:bookmarkEnd w:id="95"/>
    </w:p>
    <w:p w14:paraId="5D373E8A">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城区设计浑江</w:t>
      </w:r>
      <w:r>
        <w:rPr>
          <w:rFonts w:hint="eastAsia" w:cs="Times New Roman"/>
          <w:color w:val="auto"/>
          <w:sz w:val="24"/>
          <w:szCs w:val="24"/>
          <w:lang w:val="en-US" w:eastAsia="zh-CN"/>
        </w:rPr>
        <w:t>水系</w:t>
      </w:r>
      <w:r>
        <w:rPr>
          <w:rFonts w:hint="default" w:ascii="Times New Roman" w:hAnsi="Times New Roman" w:eastAsia="宋体" w:cs="Times New Roman"/>
          <w:color w:val="auto"/>
          <w:sz w:val="24"/>
          <w:szCs w:val="24"/>
        </w:rPr>
        <w:t>海绵城市示范段建设，实施生态护坡、生态缓冲带修复，增加浑江河岸生态缓冲带覆盖度，恢复亲水功能。</w:t>
      </w:r>
    </w:p>
    <w:p w14:paraId="5F6EFAEF">
      <w:pPr>
        <w:pStyle w:val="4"/>
        <w:bidi w:val="0"/>
        <w:rPr>
          <w:rFonts w:hint="default"/>
        </w:rPr>
      </w:pPr>
      <w:bookmarkStart w:id="96" w:name="_Toc21348"/>
      <w:bookmarkStart w:id="97" w:name="_Toc82172427"/>
      <w:r>
        <w:rPr>
          <w:rFonts w:hint="default"/>
        </w:rPr>
        <w:t>开展城区河岸亲水工程建设</w:t>
      </w:r>
      <w:bookmarkEnd w:id="96"/>
      <w:bookmarkEnd w:id="97"/>
    </w:p>
    <w:p w14:paraId="1B4E0FBE">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推进白山市江源区绿水园净化有限公司污水处理产生的污泥资源化处置。</w:t>
      </w:r>
    </w:p>
    <w:p w14:paraId="0ADEBD90">
      <w:pPr>
        <w:pStyle w:val="3"/>
        <w:bidi w:val="0"/>
        <w:rPr>
          <w:rFonts w:hint="default"/>
        </w:rPr>
      </w:pPr>
      <w:bookmarkStart w:id="98" w:name="_Toc82172428"/>
      <w:bookmarkStart w:id="99" w:name="_Toc22010"/>
      <w:r>
        <w:rPr>
          <w:rFonts w:hint="default"/>
        </w:rPr>
        <w:t>西村断面汇水范围</w:t>
      </w:r>
      <w:bookmarkEnd w:id="98"/>
      <w:bookmarkEnd w:id="99"/>
    </w:p>
    <w:p w14:paraId="216DA5D9">
      <w:pPr>
        <w:pStyle w:val="4"/>
        <w:bidi w:val="0"/>
        <w:rPr>
          <w:rFonts w:hint="default"/>
        </w:rPr>
      </w:pPr>
      <w:bookmarkStart w:id="100" w:name="_Toc62"/>
      <w:bookmarkStart w:id="101" w:name="_Toc82172429"/>
      <w:r>
        <w:rPr>
          <w:rFonts w:hint="default"/>
        </w:rPr>
        <w:t>上游控水、保土，减少面源污染</w:t>
      </w:r>
      <w:bookmarkEnd w:id="100"/>
      <w:bookmarkEnd w:id="101"/>
    </w:p>
    <w:p w14:paraId="4144D0E3">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实施农业农村污染防治：通过农家肥替代化肥、种植结构调整、测土配方等具体措施，减少农药化肥施用量，降低农业面源污染风险，防范农业面源带来的农药化肥污染。</w:t>
      </w:r>
    </w:p>
    <w:p w14:paraId="4B403A52">
      <w:pPr>
        <w:pStyle w:val="4"/>
        <w:bidi w:val="0"/>
        <w:rPr>
          <w:rFonts w:hint="default"/>
        </w:rPr>
      </w:pPr>
      <w:bookmarkStart w:id="102" w:name="_Toc18254"/>
      <w:bookmarkStart w:id="103" w:name="_Toc82172430"/>
      <w:r>
        <w:rPr>
          <w:rFonts w:hint="default"/>
        </w:rPr>
        <w:t>中游加强饮用水及尾矿库风险管控</w:t>
      </w:r>
      <w:bookmarkEnd w:id="102"/>
      <w:bookmarkEnd w:id="103"/>
    </w:p>
    <w:p w14:paraId="5E868D0A">
      <w:pPr>
        <w:bidi w:val="0"/>
        <w:rPr>
          <w:rFonts w:hint="default"/>
        </w:rPr>
      </w:pPr>
      <w:r>
        <w:rPr>
          <w:rFonts w:hint="default"/>
        </w:rPr>
        <w:t>加强尾矿库环境监管：对浑江区所有尾矿库进行归档备案，建立三级防控体系，并按要求定期开展尾矿库环境应急演练，编制针对性环境应急预案，定期进行风险评估，储备足够的应急物资。</w:t>
      </w:r>
    </w:p>
    <w:p w14:paraId="2EE4A117">
      <w:pPr>
        <w:pStyle w:val="4"/>
        <w:bidi w:val="0"/>
        <w:rPr>
          <w:rFonts w:hint="default"/>
        </w:rPr>
      </w:pPr>
      <w:bookmarkStart w:id="104" w:name="_Toc82172431"/>
      <w:bookmarkStart w:id="105" w:name="_Toc19638"/>
      <w:r>
        <w:rPr>
          <w:rFonts w:hint="default"/>
        </w:rPr>
        <w:t>下游降低水耗、提升水治理能力</w:t>
      </w:r>
      <w:bookmarkEnd w:id="104"/>
      <w:bookmarkEnd w:id="105"/>
    </w:p>
    <w:p w14:paraId="28E09217">
      <w:pPr>
        <w:bidi w:val="0"/>
        <w:rPr>
          <w:rFonts w:hint="default"/>
        </w:rPr>
        <w:sectPr>
          <w:pgSz w:w="11906" w:h="16838"/>
          <w:pgMar w:top="1440" w:right="1800" w:bottom="1440" w:left="1800" w:header="851" w:footer="992" w:gutter="0"/>
          <w:pgNumType w:fmt="numberInDash"/>
          <w:cols w:space="0" w:num="1"/>
          <w:rtlGutter w:val="0"/>
          <w:docGrid w:type="lines" w:linePitch="332" w:charSpace="0"/>
        </w:sectPr>
      </w:pPr>
      <w:r>
        <w:rPr>
          <w:rFonts w:hint="default"/>
        </w:rPr>
        <w:t>健全河长制监督管理体系：健全区域内河长制监管体系，长效做好“清四乱”专项工作，落实属地责任，健全长效机制，强化责任考核，协调整合各方力量，做好沿河垃圾处置，促进水资源保护、水域岸线管理、水污染防治、水环境治理等工作。</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6C26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8296" w:type="dxa"/>
          </w:tcPr>
          <w:p w14:paraId="4D50649F">
            <w:pPr>
              <w:spacing w:before="0" w:after="0" w:line="360" w:lineRule="auto"/>
              <w:ind w:firstLine="0" w:firstLineChars="0"/>
              <w:jc w:val="center"/>
              <w:rPr>
                <w:rFonts w:eastAsia="黑体" w:cs="Times New Roman"/>
                <w:sz w:val="24"/>
                <w:szCs w:val="24"/>
              </w:rPr>
            </w:pPr>
            <w:r>
              <w:rPr>
                <w:rFonts w:eastAsia="黑体" w:cs="Times New Roman"/>
                <w:sz w:val="24"/>
                <w:szCs w:val="24"/>
              </w:rPr>
              <w:t xml:space="preserve">专栏 </w:t>
            </w:r>
            <w:r>
              <w:rPr>
                <w:rFonts w:hint="eastAsia" w:eastAsia="黑体" w:cs="Times New Roman"/>
                <w:sz w:val="24"/>
                <w:szCs w:val="24"/>
                <w:lang w:val="en-US" w:eastAsia="zh-CN"/>
              </w:rPr>
              <w:t>1</w:t>
            </w:r>
            <w:r>
              <w:rPr>
                <w:rFonts w:eastAsia="黑体" w:cs="Times New Roman"/>
                <w:sz w:val="24"/>
                <w:szCs w:val="24"/>
              </w:rPr>
              <w:t xml:space="preserve"> 浑江水环境综合整治工程</w:t>
            </w:r>
          </w:p>
        </w:tc>
      </w:tr>
      <w:tr w14:paraId="0698C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3924E8FA">
            <w:pPr>
              <w:overflowPunct w:val="0"/>
              <w:spacing w:before="0" w:after="0" w:line="360" w:lineRule="auto"/>
              <w:ind w:firstLine="482"/>
              <w:rPr>
                <w:rFonts w:cs="Times New Roman"/>
                <w:sz w:val="24"/>
                <w:szCs w:val="24"/>
              </w:rPr>
            </w:pPr>
            <w:r>
              <w:rPr>
                <w:rFonts w:cs="Times New Roman"/>
                <w:b/>
                <w:bCs/>
                <w:sz w:val="24"/>
                <w:szCs w:val="24"/>
              </w:rPr>
              <w:t>污水处理设施建设：</w:t>
            </w:r>
            <w:r>
              <w:rPr>
                <w:rFonts w:cs="Times New Roman"/>
                <w:sz w:val="24"/>
                <w:szCs w:val="24"/>
              </w:rPr>
              <w:t>实施白山市</w:t>
            </w:r>
            <w:r>
              <w:rPr>
                <w:rFonts w:hint="eastAsia" w:cs="Times New Roman"/>
                <w:sz w:val="24"/>
                <w:szCs w:val="24"/>
              </w:rPr>
              <w:t>虹桥污水厂</w:t>
            </w:r>
            <w:r>
              <w:rPr>
                <w:rFonts w:cs="Times New Roman"/>
                <w:sz w:val="24"/>
                <w:szCs w:val="24"/>
              </w:rPr>
              <w:t>扩建</w:t>
            </w:r>
            <w:r>
              <w:rPr>
                <w:rFonts w:hint="eastAsia" w:cs="Times New Roman"/>
                <w:sz w:val="24"/>
                <w:szCs w:val="24"/>
              </w:rPr>
              <w:t>工程，强化白山市城镇生活污水治理，提高氨氮及总氮处理率，确保冬季出水稳定达标</w:t>
            </w:r>
            <w:r>
              <w:rPr>
                <w:rFonts w:cs="Times New Roman"/>
                <w:sz w:val="24"/>
                <w:szCs w:val="24"/>
              </w:rPr>
              <w:t>。实施白山市污水处理厂配套管网改扩建工程（一期）</w:t>
            </w:r>
            <w:r>
              <w:rPr>
                <w:rFonts w:hint="eastAsia" w:cs="Times New Roman"/>
                <w:sz w:val="24"/>
                <w:szCs w:val="24"/>
              </w:rPr>
              <w:t>。</w:t>
            </w:r>
            <w:r>
              <w:rPr>
                <w:rFonts w:cs="Times New Roman"/>
                <w:sz w:val="24"/>
                <w:szCs w:val="24"/>
              </w:rPr>
              <w:t>新建银河小区一区污水泵站1座，污水监测平台1套。实施白山市浑江区镁工业园区污水处理厂工程。</w:t>
            </w:r>
            <w:r>
              <w:rPr>
                <w:rFonts w:hint="eastAsia" w:cs="Times New Roman"/>
                <w:sz w:val="24"/>
                <w:szCs w:val="24"/>
              </w:rPr>
              <w:t>实施江源区城区污水管线雨污分流维修改造项目。实施白山市江源区建制镇污水项目。</w:t>
            </w:r>
          </w:p>
          <w:p w14:paraId="7BDD4890">
            <w:pPr>
              <w:overflowPunct w:val="0"/>
              <w:spacing w:before="0" w:after="0" w:line="360" w:lineRule="auto"/>
              <w:ind w:firstLine="482"/>
              <w:rPr>
                <w:rFonts w:cs="Times New Roman"/>
                <w:bCs/>
                <w:sz w:val="24"/>
                <w:szCs w:val="24"/>
              </w:rPr>
            </w:pPr>
            <w:r>
              <w:rPr>
                <w:rFonts w:cs="Times New Roman"/>
                <w:b/>
                <w:sz w:val="24"/>
                <w:szCs w:val="24"/>
              </w:rPr>
              <w:t>供水保障工程：</w:t>
            </w:r>
            <w:r>
              <w:rPr>
                <w:rFonts w:cs="Times New Roman"/>
                <w:bCs/>
                <w:sz w:val="24"/>
                <w:szCs w:val="24"/>
              </w:rPr>
              <w:t>实施白山市城区水源（曲家营水库、西北岔水库）供给保障提升工程，包括拦污坝建设、水库清淤等建设内容。</w:t>
            </w:r>
            <w:r>
              <w:rPr>
                <w:rFonts w:hint="eastAsia" w:cs="Times New Roman"/>
                <w:bCs/>
                <w:sz w:val="24"/>
                <w:szCs w:val="24"/>
              </w:rPr>
              <w:t>在红土崖河、珠宝沟河、外珠宝沟河入库口建设拦污坝。</w:t>
            </w:r>
          </w:p>
          <w:p w14:paraId="55F8C73A">
            <w:pPr>
              <w:overflowPunct w:val="0"/>
              <w:spacing w:before="0" w:after="0" w:line="360" w:lineRule="auto"/>
              <w:ind w:firstLine="482"/>
              <w:rPr>
                <w:rFonts w:cs="Times New Roman"/>
                <w:bCs/>
                <w:sz w:val="24"/>
                <w:szCs w:val="24"/>
              </w:rPr>
            </w:pPr>
            <w:r>
              <w:rPr>
                <w:rFonts w:cs="Times New Roman"/>
                <w:b/>
                <w:sz w:val="24"/>
                <w:szCs w:val="24"/>
              </w:rPr>
              <w:t>再生水循环利用：</w:t>
            </w:r>
            <w:r>
              <w:rPr>
                <w:rFonts w:cs="Times New Roman"/>
                <w:bCs/>
                <w:sz w:val="24"/>
                <w:szCs w:val="24"/>
              </w:rPr>
              <w:t>开展区域再生水循环利用工程，督促高耗水工业企业加强废水重复利用等节水工程建设。</w:t>
            </w:r>
          </w:p>
          <w:p w14:paraId="29A35EA2">
            <w:pPr>
              <w:overflowPunct w:val="0"/>
              <w:spacing w:before="0" w:after="0" w:line="360" w:lineRule="auto"/>
              <w:ind w:firstLine="482"/>
              <w:rPr>
                <w:rFonts w:cs="Times New Roman"/>
                <w:bCs/>
                <w:sz w:val="24"/>
                <w:szCs w:val="24"/>
              </w:rPr>
            </w:pPr>
            <w:r>
              <w:rPr>
                <w:rFonts w:cs="Times New Roman"/>
                <w:b/>
                <w:sz w:val="24"/>
                <w:szCs w:val="24"/>
              </w:rPr>
              <w:t>农村污水综合治理：</w:t>
            </w:r>
            <w:r>
              <w:rPr>
                <w:rFonts w:cs="Times New Roman"/>
                <w:bCs/>
                <w:sz w:val="24"/>
                <w:szCs w:val="24"/>
              </w:rPr>
              <w:t>实施白山市江源区农村污水综合治理示范项目，红石村（大石人镇）示范区污水治理拟</w:t>
            </w:r>
            <w:r>
              <w:rPr>
                <w:rFonts w:hint="eastAsia" w:cs="Times New Roman"/>
                <w:bCs/>
                <w:sz w:val="24"/>
                <w:szCs w:val="24"/>
              </w:rPr>
              <w:t>建</w:t>
            </w:r>
            <w:r>
              <w:rPr>
                <w:rFonts w:cs="Times New Roman"/>
                <w:bCs/>
                <w:sz w:val="24"/>
                <w:szCs w:val="24"/>
              </w:rPr>
              <w:t>污水处理站一座，育林新村示范区污水治理拟</w:t>
            </w:r>
            <w:r>
              <w:rPr>
                <w:rFonts w:hint="eastAsia" w:cs="Times New Roman"/>
                <w:bCs/>
                <w:sz w:val="24"/>
                <w:szCs w:val="24"/>
              </w:rPr>
              <w:t>建</w:t>
            </w:r>
            <w:r>
              <w:rPr>
                <w:rFonts w:cs="Times New Roman"/>
                <w:bCs/>
                <w:sz w:val="24"/>
                <w:szCs w:val="24"/>
              </w:rPr>
              <w:t>污水处理站一座。</w:t>
            </w:r>
          </w:p>
          <w:p w14:paraId="5BB0D2B5">
            <w:pPr>
              <w:overflowPunct w:val="0"/>
              <w:spacing w:before="0" w:after="0" w:line="360" w:lineRule="auto"/>
              <w:ind w:firstLine="482"/>
              <w:rPr>
                <w:rFonts w:cs="Times New Roman"/>
                <w:bCs/>
                <w:sz w:val="24"/>
                <w:szCs w:val="24"/>
              </w:rPr>
            </w:pPr>
            <w:r>
              <w:rPr>
                <w:rFonts w:cs="Times New Roman"/>
                <w:b/>
                <w:sz w:val="24"/>
                <w:szCs w:val="24"/>
              </w:rPr>
              <w:t>河湖缓冲带建设：</w:t>
            </w:r>
            <w:r>
              <w:rPr>
                <w:rFonts w:cs="Times New Roman"/>
                <w:bCs/>
                <w:sz w:val="24"/>
                <w:szCs w:val="24"/>
              </w:rPr>
              <w:t>实施红土崖河生态隔离带建设，在红土崖镇红新村、红一村沿红土崖河两岸</w:t>
            </w:r>
            <w:r>
              <w:rPr>
                <w:rFonts w:hint="eastAsia" w:cs="Times New Roman"/>
                <w:bCs/>
                <w:sz w:val="24"/>
                <w:szCs w:val="24"/>
              </w:rPr>
              <w:t>建设</w:t>
            </w:r>
            <w:r>
              <w:rPr>
                <w:rFonts w:cs="Times New Roman"/>
                <w:bCs/>
                <w:sz w:val="24"/>
                <w:szCs w:val="24"/>
              </w:rPr>
              <w:t>生态缓冲带。</w:t>
            </w:r>
          </w:p>
          <w:p w14:paraId="32A3511B">
            <w:pPr>
              <w:overflowPunct w:val="0"/>
              <w:spacing w:before="0" w:after="0" w:line="360" w:lineRule="auto"/>
              <w:ind w:firstLine="482"/>
              <w:rPr>
                <w:rFonts w:cs="Times New Roman"/>
                <w:sz w:val="24"/>
                <w:szCs w:val="24"/>
              </w:rPr>
            </w:pPr>
            <w:r>
              <w:rPr>
                <w:rFonts w:cs="Times New Roman"/>
                <w:b/>
                <w:bCs/>
                <w:sz w:val="24"/>
                <w:szCs w:val="24"/>
              </w:rPr>
              <w:t>生态修复工程：</w:t>
            </w:r>
            <w:r>
              <w:rPr>
                <w:rFonts w:cs="Times New Roman"/>
                <w:sz w:val="24"/>
                <w:szCs w:val="24"/>
              </w:rPr>
              <w:t>实施浑江流域生态保护修复治理工程（一期）。实施吉林白山珠宝河国家湿地公园湿地保护补助资金项目，恢复退化湿地。实施白山市浑江区浑江生态小流域保护治理工程项目，</w:t>
            </w:r>
            <w:r>
              <w:rPr>
                <w:rFonts w:hint="eastAsia" w:cs="Times New Roman"/>
                <w:sz w:val="24"/>
                <w:szCs w:val="24"/>
              </w:rPr>
              <w:t>开展浑江干流城区段</w:t>
            </w:r>
            <w:r>
              <w:rPr>
                <w:rFonts w:cs="Times New Roman"/>
                <w:sz w:val="24"/>
                <w:szCs w:val="24"/>
              </w:rPr>
              <w:t>河道清淤</w:t>
            </w:r>
            <w:r>
              <w:rPr>
                <w:rFonts w:hint="eastAsia" w:cs="Times New Roman"/>
                <w:sz w:val="24"/>
                <w:szCs w:val="24"/>
              </w:rPr>
              <w:t>整治工程</w:t>
            </w:r>
            <w:r>
              <w:rPr>
                <w:rFonts w:cs="Times New Roman"/>
                <w:sz w:val="24"/>
                <w:szCs w:val="24"/>
              </w:rPr>
              <w:t>。</w:t>
            </w:r>
          </w:p>
          <w:p w14:paraId="447158AF">
            <w:pPr>
              <w:overflowPunct w:val="0"/>
              <w:spacing w:before="0" w:after="0" w:line="360" w:lineRule="auto"/>
              <w:ind w:firstLine="482"/>
              <w:rPr>
                <w:rFonts w:cs="Times New Roman"/>
                <w:sz w:val="24"/>
                <w:szCs w:val="24"/>
              </w:rPr>
            </w:pPr>
            <w:r>
              <w:rPr>
                <w:rFonts w:cs="Times New Roman"/>
                <w:b/>
                <w:bCs/>
                <w:sz w:val="24"/>
                <w:szCs w:val="24"/>
              </w:rPr>
              <w:t>尾水湿地建设：</w:t>
            </w:r>
            <w:r>
              <w:rPr>
                <w:rFonts w:cs="Times New Roman"/>
                <w:sz w:val="24"/>
                <w:szCs w:val="24"/>
              </w:rPr>
              <w:t>在</w:t>
            </w:r>
            <w:r>
              <w:rPr>
                <w:rFonts w:hint="eastAsia" w:cs="Times New Roman"/>
                <w:sz w:val="24"/>
                <w:szCs w:val="24"/>
              </w:rPr>
              <w:t>白山市污水处理厂</w:t>
            </w:r>
            <w:r>
              <w:rPr>
                <w:rFonts w:cs="Times New Roman"/>
                <w:sz w:val="24"/>
                <w:szCs w:val="24"/>
              </w:rPr>
              <w:t>下游新建</w:t>
            </w:r>
            <w:r>
              <w:rPr>
                <w:rFonts w:hint="eastAsia" w:cs="Times New Roman"/>
                <w:sz w:val="24"/>
                <w:szCs w:val="24"/>
              </w:rPr>
              <w:t>1</w:t>
            </w:r>
            <w:r>
              <w:rPr>
                <w:rFonts w:cs="Times New Roman"/>
                <w:sz w:val="24"/>
                <w:szCs w:val="24"/>
              </w:rPr>
              <w:t>处人工湿地，改善污水处理厂出水水质。</w:t>
            </w:r>
          </w:p>
          <w:p w14:paraId="503DBE99">
            <w:pPr>
              <w:overflowPunct w:val="0"/>
              <w:spacing w:before="0" w:after="0" w:line="360" w:lineRule="auto"/>
              <w:ind w:firstLine="482"/>
              <w:rPr>
                <w:rFonts w:cs="Times New Roman"/>
                <w:sz w:val="24"/>
                <w:szCs w:val="24"/>
              </w:rPr>
            </w:pPr>
            <w:r>
              <w:rPr>
                <w:rFonts w:cs="Times New Roman"/>
                <w:b/>
                <w:bCs/>
                <w:sz w:val="24"/>
                <w:szCs w:val="24"/>
              </w:rPr>
              <w:t>减少农村面源污染：</w:t>
            </w:r>
            <w:r>
              <w:rPr>
                <w:rFonts w:cs="Times New Roman"/>
                <w:sz w:val="24"/>
                <w:szCs w:val="24"/>
              </w:rPr>
              <w:t>推进农村生活垃圾分类和资源化利用，实施农药化肥双减半，减少农药化肥施用量，降低农药面源污染风险。</w:t>
            </w:r>
          </w:p>
          <w:p w14:paraId="283DEF4B">
            <w:pPr>
              <w:overflowPunct w:val="0"/>
              <w:spacing w:before="0" w:after="0" w:line="360" w:lineRule="auto"/>
              <w:ind w:firstLine="482"/>
              <w:rPr>
                <w:rFonts w:cs="Times New Roman"/>
                <w:sz w:val="24"/>
                <w:szCs w:val="24"/>
              </w:rPr>
            </w:pPr>
            <w:r>
              <w:rPr>
                <w:rFonts w:hint="eastAsia" w:cs="Times New Roman"/>
                <w:b/>
                <w:bCs/>
                <w:sz w:val="24"/>
                <w:szCs w:val="24"/>
              </w:rPr>
              <w:t>尾矿库风险防控：</w:t>
            </w:r>
            <w:r>
              <w:rPr>
                <w:rFonts w:hint="eastAsia" w:cs="Times New Roman"/>
                <w:sz w:val="24"/>
                <w:szCs w:val="24"/>
              </w:rPr>
              <w:t>编制尾矿库突发性生态环境污染事件预案，并定期更新修改尾矿库紧急预案，明确环境应急管理方向。</w:t>
            </w:r>
          </w:p>
        </w:tc>
      </w:tr>
    </w:tbl>
    <w:p w14:paraId="4F7E4C7B">
      <w:pPr>
        <w:bidi w:val="0"/>
        <w:rPr>
          <w:rFonts w:hint="default"/>
        </w:rPr>
      </w:pPr>
    </w:p>
    <w:p w14:paraId="239F952D">
      <w:pPr>
        <w:pStyle w:val="3"/>
        <w:bidi w:val="0"/>
        <w:rPr>
          <w:rFonts w:hint="default"/>
        </w:rPr>
      </w:pPr>
      <w:bookmarkStart w:id="106" w:name="_Toc82172432"/>
      <w:bookmarkStart w:id="107" w:name="_Toc26663"/>
      <w:r>
        <w:rPr>
          <w:rFonts w:hint="default"/>
        </w:rPr>
        <w:t>参乡一号桥汇水范围</w:t>
      </w:r>
      <w:bookmarkEnd w:id="106"/>
      <w:bookmarkEnd w:id="107"/>
    </w:p>
    <w:p w14:paraId="32823368">
      <w:pPr>
        <w:bidi w:val="0"/>
        <w:rPr>
          <w:rFonts w:hint="default"/>
        </w:rPr>
      </w:pPr>
      <w:r>
        <w:rPr>
          <w:rFonts w:hint="default"/>
        </w:rPr>
        <w:t>提升乡镇生活污水处理能力，完善雨污分流管网建设：针对参乡一号桥汇水范围乡镇生活污水处理能力不足问题，开展乡镇污水处理设施扩建，提升乡镇生活污水收集处理能力，优化选取处理工艺，强化设施运行维护，严格污水处理厂污泥无害化处理管控。湾沟镇新建日处理1万m³/d污水处理厂一座。</w:t>
      </w:r>
    </w:p>
    <w:p w14:paraId="7FB92E1A">
      <w:pPr>
        <w:pStyle w:val="4"/>
        <w:bidi w:val="0"/>
        <w:rPr>
          <w:rFonts w:hint="default"/>
        </w:rPr>
      </w:pPr>
      <w:bookmarkStart w:id="108" w:name="_Toc8333"/>
      <w:bookmarkStart w:id="109" w:name="_Toc82172433"/>
      <w:r>
        <w:rPr>
          <w:rFonts w:hint="default"/>
        </w:rPr>
        <w:t>污染减排</w:t>
      </w:r>
      <w:bookmarkEnd w:id="108"/>
      <w:bookmarkEnd w:id="109"/>
    </w:p>
    <w:p w14:paraId="13AB5EED">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（1）实施入河排污口排查整治</w:t>
      </w:r>
    </w:p>
    <w:p w14:paraId="2AC115F6">
      <w:pPr>
        <w:bidi w:val="0"/>
        <w:rPr>
          <w:rFonts w:hint="default"/>
        </w:rPr>
      </w:pPr>
      <w:r>
        <w:rPr>
          <w:rFonts w:hint="default"/>
        </w:rPr>
        <w:t>按照“查、测、溯、治”的工作步骤和要求，以城市建成区及重要水体为重点，摸清所有直接、间接排放的各类排污口数量、位置，了解排污口的排放状况，掌握排放的污染物种类及排放量，形成入河排污口台账。对排查、监测过程中发现排污问题突出的排污口进行溯源，查清排污单位，厘清排污责任。</w:t>
      </w:r>
    </w:p>
    <w:p w14:paraId="2B517EED">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根据排污口排查工作成果，结合水生态环境状况，确定禁止设置排污区域和限制设置排污区域，优化排污口设置布局；按照工业、生活、农业等不同类型排污口特征，分别提出清理整治、达标排放等任务。</w:t>
      </w:r>
    </w:p>
    <w:p w14:paraId="21004733">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（2）持续推进工业污染防治</w:t>
      </w:r>
    </w:p>
    <w:p w14:paraId="6BE7052B">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管控重点行业污染排放。重点关注区域内吉林人参生命科技产业园的污染排放管控。推动采用先进清洁生产技术，实施清洁生产技术改造，从源头减少废水、化学需氧量、氨氮等污染物的产生和排放。</w:t>
      </w:r>
    </w:p>
    <w:p w14:paraId="588D6C33">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（3）全面提升城镇污染治理</w:t>
      </w:r>
    </w:p>
    <w:p w14:paraId="04714DCF">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加强城镇污水管网基础设施建设，提高各乡镇污水管网建设，关注城区污水管网老化破损、管网断裂、堵塞、溢流等情况，生活污水收集和处理能力要与服务片区人口、经济社会发展、水环境质量改善要求相匹配。全面排查污水管网等设施功能状况，围绕服务片区管网制定“一厂一策”系统化整治方案，明确整治目标和措施。提高冬季污水处理厂运行能力，特别是受低温影响，氨氮去除率低的污水处理厂。</w:t>
      </w:r>
    </w:p>
    <w:p w14:paraId="28F6F94B">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（4）强化农业农村污染防治</w:t>
      </w:r>
    </w:p>
    <w:p w14:paraId="24012E22">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加强畜禽养殖污染防控，重点治理采用水冲粪、水泡粪等污染较重养殖方式的养殖场。提升农村生活污染治理水平。特别要加强农村垃圾在河道汇流区堆放管理，减少生活污水原位排放以及对化冰期水质的影响。</w:t>
      </w:r>
    </w:p>
    <w:p w14:paraId="03EEE967">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全力推进“一谷一城”建设，加快绿色农业转型，推动种植业结构合理调整，保障耕地质量稳步提升，提高农业规模化、标准化、品牌化罚站、改善农村生态环境，通过落实补贴政策，提高生物有机肥的使用量。</w:t>
      </w:r>
    </w:p>
    <w:p w14:paraId="536E7E49">
      <w:pPr>
        <w:pStyle w:val="4"/>
        <w:bidi w:val="0"/>
        <w:rPr>
          <w:rFonts w:hint="default"/>
        </w:rPr>
      </w:pPr>
      <w:bookmarkStart w:id="110" w:name="_Toc82172434"/>
      <w:bookmarkStart w:id="111" w:name="_Toc28192"/>
      <w:r>
        <w:rPr>
          <w:rFonts w:hint="default"/>
        </w:rPr>
        <w:t>水资源保障</w:t>
      </w:r>
      <w:bookmarkEnd w:id="110"/>
      <w:bookmarkEnd w:id="111"/>
    </w:p>
    <w:p w14:paraId="5F674409">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提高生态流量保障程度。按照“只能改善、不能变差”“生态保护优先”的原则，逐一明确清单中各河湖生态流量（水位）底线要求。结合工程措施和相关环评文件等，落实流域内重要河段、重要节点生态流量保障。</w:t>
      </w:r>
    </w:p>
    <w:p w14:paraId="7E965D92">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统筹河湖需达到的生态流量（水位）底线及闸坝、水库调度管理等相关要求，按照生态保护优先的原则，合理确定闸坝、水库生态调度任务，明确闸坝、水库各时段生态下泄流量要求。开展重要河湖生态流量研究和水量调度方案制定，强化水资源调度，调控调度闸坝、水库，保障水库下泄流量，加强河道生态流量保障，提升水体自净能力，促进水系连通。</w:t>
      </w:r>
    </w:p>
    <w:p w14:paraId="1A772459">
      <w:pPr>
        <w:pStyle w:val="4"/>
        <w:bidi w:val="0"/>
        <w:rPr>
          <w:rFonts w:hint="default"/>
        </w:rPr>
      </w:pPr>
      <w:bookmarkStart w:id="112" w:name="_Toc7239"/>
      <w:bookmarkStart w:id="113" w:name="_Toc82172435"/>
      <w:r>
        <w:rPr>
          <w:rFonts w:hint="default"/>
        </w:rPr>
        <w:t>水生态保护修复</w:t>
      </w:r>
      <w:bookmarkEnd w:id="112"/>
      <w:bookmarkEnd w:id="113"/>
    </w:p>
    <w:p w14:paraId="735C91CE">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减轻人类对水生态环境的干扰，增加生态系统稳定性，恢复水生态系统完整性来实现河湖水域生态的保护修复。</w:t>
      </w:r>
    </w:p>
    <w:p w14:paraId="4FC077CC">
      <w:pPr>
        <w:bidi w:val="0"/>
        <w:rPr>
          <w:rFonts w:hint="default"/>
        </w:rPr>
      </w:pPr>
      <w:r>
        <w:rPr>
          <w:rFonts w:hint="eastAsia"/>
          <w:lang w:val="en-US" w:eastAsia="zh-CN"/>
        </w:rPr>
        <w:t>实施头道松花江水资源保障工程，</w:t>
      </w:r>
      <w:r>
        <w:rPr>
          <w:rFonts w:hint="default"/>
        </w:rPr>
        <w:t>江源区总计建设33.28km河湖缓冲（隔离）带。在江源区汤河段建设33.28km河岸生态缓冲带，通过生态缓冲带建设与修复，保护汤河流域优良水生态环境。</w:t>
      </w:r>
    </w:p>
    <w:p w14:paraId="0913AE31">
      <w:pPr>
        <w:bidi w:val="0"/>
        <w:rPr>
          <w:rFonts w:hint="default"/>
        </w:rPr>
      </w:pPr>
    </w:p>
    <w:p w14:paraId="07030043">
      <w:pPr>
        <w:pStyle w:val="4"/>
        <w:bidi w:val="0"/>
        <w:rPr>
          <w:rFonts w:hint="default"/>
        </w:rPr>
      </w:pPr>
      <w:bookmarkStart w:id="114" w:name="_Toc82172436"/>
      <w:bookmarkStart w:id="115" w:name="_Toc7070"/>
      <w:r>
        <w:rPr>
          <w:rFonts w:hint="default"/>
        </w:rPr>
        <w:t>水环境风险防控</w:t>
      </w:r>
      <w:bookmarkEnd w:id="114"/>
      <w:bookmarkEnd w:id="115"/>
    </w:p>
    <w:p w14:paraId="69FE2507">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（1）突发性风险防控</w:t>
      </w:r>
    </w:p>
    <w:p w14:paraId="6111EB13">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大阳岔水源地取水口上游25km范围内有鹤大公路19.5km，铁路18.7km，部分公路及铁路穿越水源地二级保护区及准保护区。穿越二级保护区的公路长度约3.6km（包括3座桥梁），铁路长度约3.6km；穿越准保护区的公路长度约4.6km，铁路长度约4.3km。</w:t>
      </w:r>
    </w:p>
    <w:p w14:paraId="28B71AEA">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强化危险化学品及汽柴油、农药化肥运输车辆管理，避免运输危险品车辆发生事故泄漏对水源地的突发性环境风险隐患。</w:t>
      </w:r>
    </w:p>
    <w:p w14:paraId="467989EE">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强化对江源区地表水体周边尾矿库的突发环境风险预防，闭矿的尾矿库应及时采取植被恢复，边坡稳定、水土保持等措施，减少潜在风险。</w:t>
      </w:r>
    </w:p>
    <w:p w14:paraId="1DA26DA5">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（2）累积性风险防控</w:t>
      </w:r>
    </w:p>
    <w:p w14:paraId="3C836AFB">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大阳岔水源地二级保护区内存在耕地34.16公顷，占汇水区总面积的0.1634%，比重很小，但部分耕地距离大阳岔河水体较近，最近距离约5m。因此存在农业面源的累积影响。二级保护区内有2处村屯，存在生活面源污染。</w:t>
      </w:r>
    </w:p>
    <w:p w14:paraId="475D053F">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sectPr>
          <w:pgSz w:w="11906" w:h="16838"/>
          <w:pgMar w:top="1440" w:right="1800" w:bottom="1440" w:left="1800" w:header="851" w:footer="992" w:gutter="0"/>
          <w:pgNumType w:fmt="numberInDash"/>
          <w:cols w:space="0" w:num="1"/>
          <w:rtlGutter w:val="0"/>
          <w:docGrid w:type="lines" w:linePitch="332" w:charSpace="0"/>
        </w:sectPr>
      </w:pPr>
      <w:r>
        <w:rPr>
          <w:rFonts w:hint="default" w:ascii="Times New Roman" w:hAnsi="Times New Roman" w:eastAsia="宋体" w:cs="Times New Roman"/>
          <w:color w:val="auto"/>
          <w:sz w:val="24"/>
          <w:szCs w:val="24"/>
        </w:rPr>
        <w:t>加快农业种植结构改革，减少保护区内耕地面积，通过落实补贴政策，提高生物有机肥的使用量。</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11B88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296" w:type="dxa"/>
          </w:tcPr>
          <w:p w14:paraId="008AC84F">
            <w:pPr>
              <w:spacing w:before="0" w:after="0" w:line="360" w:lineRule="auto"/>
              <w:ind w:firstLine="560" w:firstLineChars="0"/>
              <w:jc w:val="center"/>
              <w:rPr>
                <w:rFonts w:eastAsia="黑体" w:cs="Times New Roman"/>
                <w:sz w:val="24"/>
                <w:szCs w:val="24"/>
              </w:rPr>
            </w:pPr>
            <w:bookmarkStart w:id="116" w:name="_Toc82172437"/>
            <w:r>
              <w:rPr>
                <w:rFonts w:eastAsia="黑体" w:cs="Times New Roman"/>
                <w:sz w:val="24"/>
                <w:szCs w:val="24"/>
              </w:rPr>
              <w:t xml:space="preserve">专栏 </w:t>
            </w:r>
            <w:r>
              <w:rPr>
                <w:rFonts w:hint="eastAsia" w:eastAsia="黑体" w:cs="Times New Roman"/>
                <w:sz w:val="24"/>
                <w:szCs w:val="24"/>
                <w:lang w:val="en-US" w:eastAsia="zh-CN"/>
              </w:rPr>
              <w:t>2</w:t>
            </w:r>
            <w:r>
              <w:rPr>
                <w:rFonts w:eastAsia="黑体" w:cs="Times New Roman"/>
                <w:sz w:val="24"/>
                <w:szCs w:val="24"/>
              </w:rPr>
              <w:t xml:space="preserve"> 头道松花江水资源保障工程</w:t>
            </w:r>
          </w:p>
        </w:tc>
      </w:tr>
      <w:tr w14:paraId="1AE8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tcPr>
          <w:p w14:paraId="65FF99BC">
            <w:pPr>
              <w:overflowPunct w:val="0"/>
              <w:spacing w:before="0" w:after="0" w:line="360" w:lineRule="auto"/>
              <w:ind w:firstLine="482"/>
              <w:rPr>
                <w:rFonts w:cs="Times New Roman"/>
                <w:sz w:val="24"/>
                <w:szCs w:val="24"/>
              </w:rPr>
            </w:pPr>
            <w:r>
              <w:rPr>
                <w:rFonts w:cs="Times New Roman"/>
                <w:b/>
                <w:bCs/>
                <w:sz w:val="24"/>
                <w:szCs w:val="24"/>
              </w:rPr>
              <w:t>水质影响因素分析：</w:t>
            </w:r>
            <w:r>
              <w:rPr>
                <w:rFonts w:hint="eastAsia" w:cs="Times New Roman"/>
                <w:sz w:val="24"/>
                <w:szCs w:val="24"/>
                <w:lang w:val="en-US" w:eastAsia="zh-CN"/>
              </w:rPr>
              <w:t>配合</w:t>
            </w:r>
            <w:r>
              <w:rPr>
                <w:rFonts w:cs="Times New Roman"/>
                <w:sz w:val="24"/>
                <w:szCs w:val="24"/>
              </w:rPr>
              <w:t>长白山林区水体背景值相关调查研究，</w:t>
            </w:r>
            <w:r>
              <w:rPr>
                <w:rFonts w:hint="eastAsia" w:cs="Times New Roman"/>
                <w:sz w:val="24"/>
                <w:szCs w:val="24"/>
                <w:lang w:val="en-US" w:eastAsia="zh-CN"/>
              </w:rPr>
              <w:t>配合</w:t>
            </w:r>
            <w:r>
              <w:rPr>
                <w:rFonts w:cs="Times New Roman"/>
                <w:sz w:val="24"/>
                <w:szCs w:val="24"/>
              </w:rPr>
              <w:t>制定背景值研究调查方案，</w:t>
            </w:r>
            <w:r>
              <w:rPr>
                <w:rFonts w:hint="eastAsia" w:cs="Times New Roman"/>
                <w:sz w:val="24"/>
                <w:szCs w:val="24"/>
                <w:lang w:val="en-US" w:eastAsia="zh-CN"/>
              </w:rPr>
              <w:t>配合</w:t>
            </w:r>
            <w:r>
              <w:rPr>
                <w:rFonts w:cs="Times New Roman"/>
                <w:sz w:val="24"/>
                <w:szCs w:val="24"/>
              </w:rPr>
              <w:t>检测水体背景值超标倍数，掌握林区水体综合情况和对河流水质的影响程度。</w:t>
            </w:r>
          </w:p>
          <w:p w14:paraId="073EA673">
            <w:pPr>
              <w:overflowPunct w:val="0"/>
              <w:spacing w:before="0" w:after="0" w:line="360" w:lineRule="auto"/>
              <w:ind w:firstLine="482"/>
              <w:rPr>
                <w:rFonts w:hint="eastAsia" w:eastAsia="宋体" w:cs="Times New Roman"/>
                <w:sz w:val="24"/>
                <w:szCs w:val="24"/>
                <w:lang w:eastAsia="zh-CN"/>
              </w:rPr>
            </w:pPr>
            <w:r>
              <w:rPr>
                <w:rFonts w:cs="Times New Roman"/>
                <w:b/>
                <w:bCs/>
                <w:sz w:val="24"/>
                <w:szCs w:val="24"/>
              </w:rPr>
              <w:t>城镇生活污水处理设施建设：</w:t>
            </w:r>
            <w:r>
              <w:rPr>
                <w:rFonts w:hint="eastAsia" w:cs="Times New Roman"/>
                <w:sz w:val="24"/>
                <w:szCs w:val="24"/>
              </w:rPr>
              <w:t>推动江源区湾沟镇污水处理设施和配套管网建设工程</w:t>
            </w:r>
            <w:r>
              <w:rPr>
                <w:rFonts w:hint="eastAsia" w:cs="Times New Roman"/>
                <w:sz w:val="24"/>
                <w:szCs w:val="24"/>
                <w:lang w:eastAsia="zh-CN"/>
              </w:rPr>
              <w:t>。</w:t>
            </w:r>
          </w:p>
          <w:p w14:paraId="540A827B">
            <w:pPr>
              <w:overflowPunct w:val="0"/>
              <w:spacing w:before="0" w:after="0" w:line="360" w:lineRule="auto"/>
              <w:ind w:firstLine="482"/>
              <w:rPr>
                <w:rFonts w:cs="Times New Roman"/>
                <w:sz w:val="24"/>
                <w:szCs w:val="24"/>
              </w:rPr>
            </w:pPr>
            <w:r>
              <w:rPr>
                <w:rFonts w:cs="Times New Roman"/>
                <w:b/>
                <w:bCs/>
                <w:sz w:val="24"/>
                <w:szCs w:val="24"/>
              </w:rPr>
              <w:t>市政管网改造：</w:t>
            </w:r>
            <w:r>
              <w:rPr>
                <w:rFonts w:cs="Times New Roman"/>
                <w:sz w:val="24"/>
                <w:szCs w:val="24"/>
              </w:rPr>
              <w:t>开展设施配套管网提升改造工程，维修漏损、断裂管网，提升雨污分流能力。湾沟镇新建排水管网。</w:t>
            </w:r>
          </w:p>
          <w:p w14:paraId="4AA1D792">
            <w:pPr>
              <w:overflowPunct w:val="0"/>
              <w:spacing w:before="0" w:after="0" w:line="360" w:lineRule="auto"/>
              <w:ind w:firstLine="482"/>
              <w:rPr>
                <w:rFonts w:cs="Times New Roman"/>
                <w:sz w:val="24"/>
                <w:szCs w:val="24"/>
              </w:rPr>
            </w:pPr>
            <w:r>
              <w:rPr>
                <w:rFonts w:cs="Times New Roman"/>
                <w:b/>
                <w:bCs/>
                <w:sz w:val="24"/>
                <w:szCs w:val="24"/>
              </w:rPr>
              <w:t>生态流量调度保障：</w:t>
            </w:r>
            <w:r>
              <w:rPr>
                <w:rFonts w:hint="eastAsia" w:cs="Times New Roman"/>
                <w:sz w:val="24"/>
                <w:szCs w:val="24"/>
                <w:lang w:val="en-US" w:eastAsia="zh-CN"/>
              </w:rPr>
              <w:t>配合</w:t>
            </w:r>
            <w:r>
              <w:rPr>
                <w:rFonts w:cs="Times New Roman"/>
                <w:sz w:val="24"/>
                <w:szCs w:val="24"/>
              </w:rPr>
              <w:t>加强水库、水电站生态流量目标管理及监测，</w:t>
            </w:r>
            <w:r>
              <w:rPr>
                <w:rFonts w:hint="eastAsia" w:cs="Times New Roman"/>
                <w:sz w:val="24"/>
                <w:szCs w:val="24"/>
                <w:lang w:val="en-US" w:eastAsia="zh-CN"/>
              </w:rPr>
              <w:t>配合</w:t>
            </w:r>
            <w:r>
              <w:rPr>
                <w:rFonts w:cs="Times New Roman"/>
                <w:sz w:val="24"/>
                <w:szCs w:val="24"/>
              </w:rPr>
              <w:t>制</w:t>
            </w:r>
            <w:r>
              <w:rPr>
                <w:rFonts w:hint="eastAsia" w:cs="Times New Roman"/>
                <w:sz w:val="24"/>
                <w:szCs w:val="24"/>
              </w:rPr>
              <w:t>订</w:t>
            </w:r>
            <w:r>
              <w:rPr>
                <w:rFonts w:cs="Times New Roman"/>
                <w:sz w:val="24"/>
                <w:szCs w:val="24"/>
              </w:rPr>
              <w:t>重要河湖生态流量研究和水量调度方案，保证下泄生态流量。</w:t>
            </w:r>
          </w:p>
          <w:p w14:paraId="73CECAD5">
            <w:pPr>
              <w:overflowPunct w:val="0"/>
              <w:spacing w:before="0" w:after="0" w:line="360" w:lineRule="auto"/>
              <w:ind w:firstLine="482"/>
              <w:rPr>
                <w:rFonts w:cs="Times New Roman"/>
                <w:sz w:val="24"/>
                <w:szCs w:val="24"/>
              </w:rPr>
            </w:pPr>
            <w:r>
              <w:rPr>
                <w:rFonts w:cs="Times New Roman"/>
                <w:b/>
                <w:bCs/>
                <w:sz w:val="24"/>
                <w:szCs w:val="24"/>
              </w:rPr>
              <w:t>冷水鱼种群丰度提升：</w:t>
            </w:r>
            <w:r>
              <w:rPr>
                <w:rFonts w:hint="eastAsia" w:cs="Times New Roman"/>
                <w:sz w:val="24"/>
                <w:szCs w:val="24"/>
                <w:lang w:val="en-US" w:eastAsia="zh-CN"/>
              </w:rPr>
              <w:t>配合</w:t>
            </w:r>
            <w:r>
              <w:rPr>
                <w:rFonts w:cs="Times New Roman"/>
                <w:sz w:val="24"/>
                <w:szCs w:val="24"/>
              </w:rPr>
              <w:t>实施松山水库范围内冷水鱼生态放流工程，补充松花江水域经济鱼类和珍稀濒危生物物种种群数量，促进渔业种群资源恢复。</w:t>
            </w:r>
          </w:p>
          <w:p w14:paraId="26CF5FE4">
            <w:pPr>
              <w:overflowPunct w:val="0"/>
              <w:spacing w:before="0" w:after="0" w:line="360" w:lineRule="auto"/>
              <w:ind w:firstLine="482"/>
              <w:rPr>
                <w:rFonts w:cs="Times New Roman"/>
                <w:sz w:val="24"/>
                <w:szCs w:val="24"/>
              </w:rPr>
            </w:pPr>
            <w:r>
              <w:rPr>
                <w:rFonts w:hint="eastAsia"/>
                <w:b/>
                <w:bCs/>
                <w:lang w:val="en-US" w:eastAsia="zh-CN"/>
              </w:rPr>
              <w:t>河湖缓冲带建设：</w:t>
            </w:r>
            <w:r>
              <w:rPr>
                <w:rFonts w:hint="eastAsia"/>
                <w:lang w:val="en-US" w:eastAsia="zh-CN"/>
              </w:rPr>
              <w:t>加强江源区汤河段生态缓冲（隔离）带建设，在湾沟镇、松树镇汤河沿岸建设生态缓冲带，推进湾沟镇、松树镇进行生态护岸治理。</w:t>
            </w:r>
          </w:p>
        </w:tc>
      </w:tr>
    </w:tbl>
    <w:p w14:paraId="7D20F32D">
      <w:pPr>
        <w:bidi w:val="0"/>
        <w:rPr>
          <w:rFonts w:hint="default"/>
        </w:rPr>
        <w:sectPr>
          <w:pgSz w:w="11906" w:h="16838"/>
          <w:pgMar w:top="1440" w:right="1800" w:bottom="1440" w:left="1800" w:header="851" w:footer="992" w:gutter="0"/>
          <w:pgNumType w:fmt="numberInDash"/>
          <w:cols w:space="0" w:num="1"/>
          <w:rtlGutter w:val="0"/>
          <w:docGrid w:type="lines" w:linePitch="332" w:charSpace="0"/>
        </w:sectPr>
      </w:pPr>
    </w:p>
    <w:p w14:paraId="310B75BC">
      <w:pPr>
        <w:pStyle w:val="2"/>
        <w:bidi w:val="0"/>
        <w:rPr>
          <w:rFonts w:hint="default"/>
        </w:rPr>
      </w:pPr>
      <w:bookmarkStart w:id="117" w:name="_Toc21728"/>
      <w:r>
        <w:rPr>
          <w:rFonts w:hint="default"/>
        </w:rPr>
        <w:t>规划重点项目</w:t>
      </w:r>
      <w:bookmarkEnd w:id="116"/>
      <w:bookmarkEnd w:id="117"/>
    </w:p>
    <w:p w14:paraId="68C57923">
      <w:pPr>
        <w:kinsoku/>
        <w:wordWrap/>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按照问题目标导向，针对污染减排、水生态保护修复、水环境风险防控等任务，提出江源区“十四五”水生态保护规划重点项目清单。详见表6-1至表6-3及附图。</w:t>
      </w:r>
    </w:p>
    <w:p w14:paraId="1E9D1121">
      <w:pPr>
        <w:kinsoku/>
        <w:wordWrap/>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FF"/>
        </w:rPr>
      </w:pPr>
      <w:r>
        <w:rPr>
          <w:rFonts w:hint="default" w:ascii="Times New Roman" w:hAnsi="Times New Roman" w:eastAsia="宋体" w:cs="Times New Roman"/>
          <w:color w:val="0000FF"/>
          <w:sz w:val="24"/>
          <w:szCs w:val="24"/>
        </w:rPr>
        <w:t>共计</w:t>
      </w:r>
      <w:r>
        <w:rPr>
          <w:rFonts w:hint="eastAsia" w:cs="Times New Roman"/>
          <w:color w:val="0000FF"/>
          <w:sz w:val="24"/>
          <w:szCs w:val="24"/>
          <w:lang w:val="en-US" w:eastAsia="zh-CN"/>
        </w:rPr>
        <w:t>30</w:t>
      </w:r>
      <w:r>
        <w:rPr>
          <w:rFonts w:hint="default" w:ascii="Times New Roman" w:hAnsi="Times New Roman" w:eastAsia="宋体" w:cs="Times New Roman"/>
          <w:color w:val="0000FF"/>
          <w:sz w:val="24"/>
          <w:szCs w:val="24"/>
        </w:rPr>
        <w:t>个项目，总投资额为</w:t>
      </w:r>
      <w:r>
        <w:rPr>
          <w:rFonts w:hint="eastAsia" w:cs="Times New Roman"/>
          <w:color w:val="0000FF"/>
          <w:sz w:val="24"/>
          <w:szCs w:val="24"/>
          <w:lang w:eastAsia="zh-CN"/>
        </w:rPr>
        <w:t>61550.22</w:t>
      </w:r>
      <w:r>
        <w:rPr>
          <w:rFonts w:hint="default" w:ascii="Times New Roman" w:hAnsi="Times New Roman" w:eastAsia="宋体" w:cs="Times New Roman"/>
          <w:color w:val="0000FF"/>
          <w:sz w:val="24"/>
          <w:szCs w:val="24"/>
        </w:rPr>
        <w:t>万元（未包括西北岔水源地治理工程、5个山水林田湖草二期工程）。其中大阳岔控制单元共计11个项目，包括3个水生态保护项目，7个污染减排项目，1个水环境风险防控项目，投资金额为25376.24万元；西村控制单元共计9个项目，污染减排项目7个，1个水生态保护项目，1个水环境风险防控项目，投资金额为13821万元；参乡一号桥控制单元共计</w:t>
      </w:r>
      <w:r>
        <w:rPr>
          <w:rFonts w:hint="eastAsia" w:cs="Times New Roman"/>
          <w:color w:val="0000FF"/>
          <w:sz w:val="24"/>
          <w:szCs w:val="24"/>
          <w:lang w:val="en-US" w:eastAsia="zh-CN"/>
        </w:rPr>
        <w:t>10</w:t>
      </w:r>
      <w:r>
        <w:rPr>
          <w:rFonts w:hint="default" w:ascii="Times New Roman" w:hAnsi="Times New Roman" w:eastAsia="宋体" w:cs="Times New Roman"/>
          <w:color w:val="0000FF"/>
          <w:sz w:val="24"/>
          <w:szCs w:val="24"/>
        </w:rPr>
        <w:t>个项目，6个为污染减排项目，</w:t>
      </w:r>
      <w:r>
        <w:rPr>
          <w:rFonts w:hint="eastAsia" w:cs="Times New Roman"/>
          <w:color w:val="0000FF"/>
          <w:sz w:val="24"/>
          <w:szCs w:val="24"/>
          <w:lang w:val="en-US" w:eastAsia="zh-CN"/>
        </w:rPr>
        <w:t>4</w:t>
      </w:r>
      <w:r>
        <w:rPr>
          <w:rFonts w:hint="default" w:ascii="Times New Roman" w:hAnsi="Times New Roman" w:eastAsia="宋体" w:cs="Times New Roman"/>
          <w:color w:val="0000FF"/>
          <w:sz w:val="24"/>
          <w:szCs w:val="24"/>
        </w:rPr>
        <w:t>个为水生态保护项目，投资金额为</w:t>
      </w:r>
      <w:r>
        <w:rPr>
          <w:rFonts w:hint="eastAsia" w:cs="Times New Roman"/>
          <w:color w:val="0000FF"/>
          <w:sz w:val="24"/>
          <w:szCs w:val="24"/>
          <w:lang w:val="en-US" w:eastAsia="zh-CN"/>
        </w:rPr>
        <w:t>22342.98</w:t>
      </w:r>
      <w:r>
        <w:rPr>
          <w:rFonts w:hint="default" w:ascii="Times New Roman" w:hAnsi="Times New Roman" w:eastAsia="宋体" w:cs="Times New Roman"/>
          <w:color w:val="0000FF"/>
          <w:sz w:val="24"/>
          <w:szCs w:val="24"/>
        </w:rPr>
        <w:t>万元。</w:t>
      </w:r>
    </w:p>
    <w:p w14:paraId="0E93EA27">
      <w:pPr>
        <w:kinsoku/>
        <w:wordWrap/>
        <w:topLinePunct w:val="0"/>
        <w:autoSpaceDE/>
        <w:autoSpaceDN/>
        <w:bidi w:val="0"/>
        <w:adjustRightInd/>
        <w:snapToGrid/>
        <w:textAlignment w:val="auto"/>
        <w:rPr>
          <w:rFonts w:hint="default" w:ascii="Times New Roman" w:hAnsi="Times New Roman" w:cs="Times New Roman"/>
          <w:color w:val="auto"/>
        </w:rPr>
      </w:pPr>
    </w:p>
    <w:p w14:paraId="0C78A077">
      <w:pPr>
        <w:kinsoku/>
        <w:wordWrap/>
        <w:topLinePunct w:val="0"/>
        <w:autoSpaceDE/>
        <w:autoSpaceDN/>
        <w:bidi w:val="0"/>
        <w:adjustRightInd/>
        <w:snapToGrid/>
        <w:textAlignment w:val="auto"/>
        <w:rPr>
          <w:rFonts w:hint="default" w:ascii="Times New Roman" w:hAnsi="Times New Roman" w:cs="Times New Roman"/>
          <w:color w:val="auto"/>
        </w:rPr>
      </w:pPr>
    </w:p>
    <w:p w14:paraId="7F08A17E">
      <w:pPr>
        <w:kinsoku/>
        <w:wordWrap/>
        <w:topLinePunct w:val="0"/>
        <w:autoSpaceDE/>
        <w:autoSpaceDN/>
        <w:bidi w:val="0"/>
        <w:adjustRightInd/>
        <w:snapToGrid/>
        <w:textAlignment w:val="auto"/>
        <w:rPr>
          <w:rFonts w:hint="default" w:ascii="Times New Roman" w:hAnsi="Times New Roman" w:cs="Times New Roman"/>
          <w:color w:val="auto"/>
        </w:rPr>
        <w:sectPr>
          <w:pgSz w:w="11906" w:h="16838"/>
          <w:pgMar w:top="1440" w:right="1800" w:bottom="1440" w:left="1800" w:header="851" w:footer="992" w:gutter="0"/>
          <w:pgNumType w:fmt="numberInDash"/>
          <w:cols w:space="0" w:num="1"/>
          <w:rtlGutter w:val="0"/>
          <w:docGrid w:type="lines" w:linePitch="332" w:charSpace="0"/>
        </w:sectPr>
      </w:pPr>
    </w:p>
    <w:p w14:paraId="7E1AC880">
      <w:pPr>
        <w:pStyle w:val="3"/>
        <w:bidi w:val="0"/>
        <w:rPr>
          <w:rFonts w:hint="default"/>
        </w:rPr>
      </w:pPr>
      <w:bookmarkStart w:id="118" w:name="_Toc82172438"/>
      <w:bookmarkStart w:id="119" w:name="_Toc17716"/>
      <w:r>
        <w:rPr>
          <w:rFonts w:hint="default"/>
        </w:rPr>
        <w:t>江源（浑）/大阳岔断面汇水范围</w:t>
      </w:r>
      <w:bookmarkEnd w:id="118"/>
      <w:bookmarkEnd w:id="119"/>
    </w:p>
    <w:p w14:paraId="3DD1FE85">
      <w:pPr>
        <w:pStyle w:val="16"/>
        <w:bidi w:val="0"/>
        <w:rPr>
          <w:rFonts w:hint="default"/>
        </w:rPr>
      </w:pPr>
      <w:r>
        <w:rPr>
          <w:rFonts w:hint="default"/>
        </w:rPr>
        <w:t>表</w:t>
      </w:r>
      <w:r>
        <w:rPr>
          <w:rFonts w:hint="eastAsia"/>
          <w:lang w:val="en-US" w:eastAsia="zh-CN"/>
        </w:rPr>
        <w:t>4</w:t>
      </w:r>
      <w:r>
        <w:rPr>
          <w:rFonts w:hint="default"/>
        </w:rPr>
        <w:t>-1江源（浑）/大阳岔控制单元重点项目清单</w:t>
      </w:r>
    </w:p>
    <w:tbl>
      <w:tblPr>
        <w:tblStyle w:val="1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771"/>
        <w:gridCol w:w="1717"/>
        <w:gridCol w:w="6091"/>
        <w:gridCol w:w="1776"/>
        <w:gridCol w:w="1553"/>
        <w:gridCol w:w="1519"/>
      </w:tblGrid>
      <w:tr w14:paraId="6965F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60" w:type="pct"/>
            <w:noWrap w:val="0"/>
            <w:vAlign w:val="center"/>
          </w:tcPr>
          <w:p w14:paraId="4A6E0D1F">
            <w:pPr>
              <w:pStyle w:val="17"/>
              <w:bidi w:val="0"/>
              <w:rPr>
                <w:rFonts w:hint="default"/>
              </w:rPr>
            </w:pPr>
            <w:r>
              <w:rPr>
                <w:rFonts w:hint="default"/>
              </w:rPr>
              <w:t>序号</w:t>
            </w:r>
          </w:p>
        </w:tc>
        <w:tc>
          <w:tcPr>
            <w:tcW w:w="272" w:type="pct"/>
            <w:noWrap w:val="0"/>
            <w:vAlign w:val="center"/>
          </w:tcPr>
          <w:p w14:paraId="250FAFD8">
            <w:pPr>
              <w:pStyle w:val="17"/>
              <w:bidi w:val="0"/>
              <w:rPr>
                <w:rFonts w:hint="default"/>
              </w:rPr>
            </w:pPr>
            <w:r>
              <w:rPr>
                <w:rFonts w:hint="default"/>
              </w:rPr>
              <w:t>地点</w:t>
            </w:r>
          </w:p>
        </w:tc>
        <w:tc>
          <w:tcPr>
            <w:tcW w:w="606" w:type="pct"/>
            <w:noWrap w:val="0"/>
            <w:vAlign w:val="center"/>
          </w:tcPr>
          <w:p w14:paraId="6D74DF8F">
            <w:pPr>
              <w:pStyle w:val="17"/>
              <w:bidi w:val="0"/>
              <w:rPr>
                <w:rFonts w:hint="default"/>
              </w:rPr>
            </w:pPr>
            <w:r>
              <w:rPr>
                <w:rFonts w:hint="default"/>
              </w:rPr>
              <w:t>项目</w:t>
            </w:r>
          </w:p>
          <w:p w14:paraId="315D46F2">
            <w:pPr>
              <w:pStyle w:val="17"/>
              <w:bidi w:val="0"/>
              <w:rPr>
                <w:rFonts w:hint="default"/>
              </w:rPr>
            </w:pPr>
            <w:r>
              <w:rPr>
                <w:rFonts w:hint="default"/>
              </w:rPr>
              <w:t>名称</w:t>
            </w:r>
          </w:p>
        </w:tc>
        <w:tc>
          <w:tcPr>
            <w:tcW w:w="2150" w:type="pct"/>
            <w:noWrap w:val="0"/>
            <w:vAlign w:val="center"/>
          </w:tcPr>
          <w:p w14:paraId="65F15418">
            <w:pPr>
              <w:pStyle w:val="17"/>
              <w:bidi w:val="0"/>
              <w:rPr>
                <w:rFonts w:hint="default"/>
              </w:rPr>
            </w:pPr>
            <w:r>
              <w:rPr>
                <w:rFonts w:hint="default"/>
              </w:rPr>
              <w:t>项目内容</w:t>
            </w:r>
          </w:p>
        </w:tc>
        <w:tc>
          <w:tcPr>
            <w:tcW w:w="625" w:type="pct"/>
            <w:noWrap w:val="0"/>
            <w:vAlign w:val="center"/>
          </w:tcPr>
          <w:p w14:paraId="267CC878">
            <w:pPr>
              <w:pStyle w:val="17"/>
              <w:bidi w:val="0"/>
              <w:rPr>
                <w:rFonts w:hint="default"/>
              </w:rPr>
            </w:pPr>
            <w:r>
              <w:rPr>
                <w:rFonts w:hint="default"/>
              </w:rPr>
              <w:t>责任单位</w:t>
            </w:r>
          </w:p>
        </w:tc>
        <w:tc>
          <w:tcPr>
            <w:tcW w:w="548" w:type="pct"/>
            <w:noWrap w:val="0"/>
            <w:vAlign w:val="center"/>
          </w:tcPr>
          <w:p w14:paraId="5E7F1825">
            <w:pPr>
              <w:pStyle w:val="17"/>
              <w:bidi w:val="0"/>
              <w:rPr>
                <w:rFonts w:hint="default"/>
              </w:rPr>
            </w:pPr>
            <w:r>
              <w:rPr>
                <w:rFonts w:hint="default"/>
              </w:rPr>
              <w:t>总投资金额</w:t>
            </w:r>
          </w:p>
          <w:p w14:paraId="60EFF859">
            <w:pPr>
              <w:pStyle w:val="17"/>
              <w:bidi w:val="0"/>
              <w:rPr>
                <w:rFonts w:hint="default"/>
              </w:rPr>
            </w:pPr>
            <w:r>
              <w:rPr>
                <w:rFonts w:hint="default"/>
              </w:rPr>
              <w:t>（万元）</w:t>
            </w:r>
          </w:p>
        </w:tc>
        <w:tc>
          <w:tcPr>
            <w:tcW w:w="536" w:type="pct"/>
            <w:noWrap w:val="0"/>
            <w:vAlign w:val="center"/>
          </w:tcPr>
          <w:p w14:paraId="2FC3C699">
            <w:pPr>
              <w:pStyle w:val="17"/>
              <w:bidi w:val="0"/>
              <w:rPr>
                <w:rFonts w:hint="default"/>
              </w:rPr>
            </w:pPr>
            <w:r>
              <w:rPr>
                <w:rFonts w:hint="default"/>
              </w:rPr>
              <w:t>实施时限（年）</w:t>
            </w:r>
          </w:p>
        </w:tc>
      </w:tr>
      <w:tr w14:paraId="3E51B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0" w:type="pct"/>
            <w:noWrap w:val="0"/>
            <w:vAlign w:val="center"/>
          </w:tcPr>
          <w:p w14:paraId="7156C3FD">
            <w:pPr>
              <w:pStyle w:val="17"/>
              <w:bidi w:val="0"/>
              <w:rPr>
                <w:rFonts w:hint="default"/>
              </w:rPr>
            </w:pPr>
            <w:r>
              <w:rPr>
                <w:rFonts w:hint="default"/>
              </w:rPr>
              <w:t>1</w:t>
            </w:r>
          </w:p>
        </w:tc>
        <w:tc>
          <w:tcPr>
            <w:tcW w:w="272" w:type="pct"/>
            <w:noWrap w:val="0"/>
            <w:vAlign w:val="center"/>
          </w:tcPr>
          <w:p w14:paraId="2C1B6BBC">
            <w:pPr>
              <w:pStyle w:val="17"/>
              <w:bidi w:val="0"/>
              <w:rPr>
                <w:rFonts w:hint="default"/>
              </w:rPr>
            </w:pPr>
            <w:r>
              <w:rPr>
                <w:rFonts w:hint="default"/>
              </w:rPr>
              <w:t>江源区浑江流域</w:t>
            </w:r>
          </w:p>
        </w:tc>
        <w:tc>
          <w:tcPr>
            <w:tcW w:w="606" w:type="pct"/>
            <w:noWrap w:val="0"/>
            <w:vAlign w:val="center"/>
          </w:tcPr>
          <w:p w14:paraId="0D20D88C">
            <w:pPr>
              <w:pStyle w:val="17"/>
              <w:bidi w:val="0"/>
              <w:rPr>
                <w:rFonts w:hint="default"/>
              </w:rPr>
            </w:pPr>
            <w:r>
              <w:rPr>
                <w:rFonts w:hint="default"/>
              </w:rPr>
              <w:t>白山市江源区农村污水综合治理示范项目</w:t>
            </w:r>
          </w:p>
        </w:tc>
        <w:tc>
          <w:tcPr>
            <w:tcW w:w="2150" w:type="pct"/>
            <w:noWrap w:val="0"/>
            <w:vAlign w:val="center"/>
          </w:tcPr>
          <w:p w14:paraId="1B10CFA1">
            <w:pPr>
              <w:pStyle w:val="17"/>
              <w:bidi w:val="0"/>
              <w:rPr>
                <w:rFonts w:hint="default"/>
              </w:rPr>
            </w:pPr>
            <w:r>
              <w:rPr>
                <w:rFonts w:hint="default"/>
              </w:rPr>
              <w:t>爱林村（城墙街道）示范区污水治理拟设置处理能力0.08万m</w:t>
            </w:r>
            <w:r>
              <w:rPr>
                <w:rFonts w:hint="default"/>
                <w:vertAlign w:val="superscript"/>
              </w:rPr>
              <w:t>3</w:t>
            </w:r>
            <w:r>
              <w:rPr>
                <w:rFonts w:hint="default"/>
              </w:rPr>
              <w:t>/d的污水处理站一座，铺设管网12.09km；育林新村示范区污水治理拟设置处理能力为0.015万m</w:t>
            </w:r>
            <w:r>
              <w:rPr>
                <w:rFonts w:hint="default"/>
                <w:vertAlign w:val="superscript"/>
              </w:rPr>
              <w:t>3</w:t>
            </w:r>
            <w:r>
              <w:rPr>
                <w:rFonts w:hint="default"/>
              </w:rPr>
              <w:t>/d的污水处理站一座，铺设管网2.55km；拟购置生活污水处理设备2台（套）。</w:t>
            </w:r>
          </w:p>
        </w:tc>
        <w:tc>
          <w:tcPr>
            <w:tcW w:w="625" w:type="pct"/>
            <w:noWrap w:val="0"/>
            <w:vAlign w:val="center"/>
          </w:tcPr>
          <w:p w14:paraId="1ED5D88E">
            <w:pPr>
              <w:pStyle w:val="17"/>
              <w:bidi w:val="0"/>
              <w:rPr>
                <w:rFonts w:hint="default"/>
              </w:rPr>
            </w:pPr>
            <w:r>
              <w:rPr>
                <w:rFonts w:hint="default"/>
              </w:rPr>
              <w:t>江源区人民政府</w:t>
            </w:r>
          </w:p>
        </w:tc>
        <w:tc>
          <w:tcPr>
            <w:tcW w:w="548" w:type="pct"/>
            <w:noWrap w:val="0"/>
            <w:vAlign w:val="center"/>
          </w:tcPr>
          <w:p w14:paraId="665F4A24">
            <w:pPr>
              <w:pStyle w:val="17"/>
              <w:bidi w:val="0"/>
              <w:rPr>
                <w:rFonts w:hint="default"/>
              </w:rPr>
            </w:pPr>
            <w:r>
              <w:rPr>
                <w:rFonts w:hint="default"/>
              </w:rPr>
              <w:t>1570</w:t>
            </w:r>
          </w:p>
        </w:tc>
        <w:tc>
          <w:tcPr>
            <w:tcW w:w="536" w:type="pct"/>
            <w:tcBorders>
              <w:left w:val="nil"/>
            </w:tcBorders>
            <w:noWrap w:val="0"/>
            <w:vAlign w:val="center"/>
          </w:tcPr>
          <w:p w14:paraId="4FCC46F2">
            <w:pPr>
              <w:pStyle w:val="17"/>
              <w:bidi w:val="0"/>
              <w:rPr>
                <w:rFonts w:hint="default"/>
              </w:rPr>
            </w:pPr>
            <w:r>
              <w:rPr>
                <w:rFonts w:hint="default"/>
              </w:rPr>
              <w:t>2021-2021</w:t>
            </w:r>
          </w:p>
        </w:tc>
      </w:tr>
      <w:tr w14:paraId="366E4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0" w:type="pct"/>
            <w:noWrap w:val="0"/>
            <w:vAlign w:val="center"/>
          </w:tcPr>
          <w:p w14:paraId="6B104EDF">
            <w:pPr>
              <w:pStyle w:val="17"/>
              <w:bidi w:val="0"/>
              <w:rPr>
                <w:rFonts w:hint="default"/>
              </w:rPr>
            </w:pPr>
            <w:r>
              <w:rPr>
                <w:rFonts w:hint="default"/>
              </w:rPr>
              <w:t>2</w:t>
            </w:r>
          </w:p>
        </w:tc>
        <w:tc>
          <w:tcPr>
            <w:tcW w:w="272" w:type="pct"/>
            <w:noWrap w:val="0"/>
            <w:vAlign w:val="center"/>
          </w:tcPr>
          <w:p w14:paraId="21AF3FE8">
            <w:pPr>
              <w:pStyle w:val="17"/>
              <w:bidi w:val="0"/>
              <w:rPr>
                <w:rFonts w:hint="default"/>
              </w:rPr>
            </w:pPr>
            <w:r>
              <w:rPr>
                <w:rFonts w:hint="default"/>
              </w:rPr>
              <w:t>江源区浑江流域</w:t>
            </w:r>
          </w:p>
        </w:tc>
        <w:tc>
          <w:tcPr>
            <w:tcW w:w="606" w:type="pct"/>
            <w:noWrap w:val="0"/>
            <w:vAlign w:val="center"/>
          </w:tcPr>
          <w:p w14:paraId="6197A19A">
            <w:pPr>
              <w:pStyle w:val="17"/>
              <w:bidi w:val="0"/>
              <w:rPr>
                <w:rFonts w:hint="default"/>
              </w:rPr>
            </w:pPr>
            <w:r>
              <w:rPr>
                <w:rFonts w:hint="default"/>
              </w:rPr>
              <w:t>建制村污水治理项目</w:t>
            </w:r>
          </w:p>
        </w:tc>
        <w:tc>
          <w:tcPr>
            <w:tcW w:w="2150" w:type="pct"/>
            <w:noWrap w:val="0"/>
            <w:vAlign w:val="center"/>
          </w:tcPr>
          <w:p w14:paraId="585DB403">
            <w:pPr>
              <w:pStyle w:val="17"/>
              <w:bidi w:val="0"/>
              <w:rPr>
                <w:rFonts w:hint="default"/>
              </w:rPr>
            </w:pPr>
            <w:r>
              <w:rPr>
                <w:rFonts w:hint="default"/>
              </w:rPr>
              <w:t>城墙街道五岔村、七岔村，孙家堡子接到协力村，正岔街道立新村、新开村、大阳岔街道小东岔村等管网及污水治理设施建设</w:t>
            </w:r>
          </w:p>
        </w:tc>
        <w:tc>
          <w:tcPr>
            <w:tcW w:w="625" w:type="pct"/>
            <w:noWrap w:val="0"/>
            <w:vAlign w:val="center"/>
          </w:tcPr>
          <w:p w14:paraId="1DDCC486">
            <w:pPr>
              <w:pStyle w:val="17"/>
              <w:bidi w:val="0"/>
              <w:rPr>
                <w:rFonts w:hint="default"/>
              </w:rPr>
            </w:pPr>
            <w:r>
              <w:rPr>
                <w:rFonts w:hint="default"/>
              </w:rPr>
              <w:t>江源区人民政府</w:t>
            </w:r>
          </w:p>
        </w:tc>
        <w:tc>
          <w:tcPr>
            <w:tcW w:w="548" w:type="pct"/>
            <w:noWrap w:val="0"/>
            <w:vAlign w:val="center"/>
          </w:tcPr>
          <w:p w14:paraId="1406A117">
            <w:pPr>
              <w:pStyle w:val="17"/>
              <w:bidi w:val="0"/>
              <w:rPr>
                <w:rFonts w:hint="default"/>
              </w:rPr>
            </w:pPr>
            <w:r>
              <w:rPr>
                <w:rFonts w:hint="default"/>
              </w:rPr>
              <w:t>2233.6</w:t>
            </w:r>
          </w:p>
        </w:tc>
        <w:tc>
          <w:tcPr>
            <w:tcW w:w="536" w:type="pct"/>
            <w:tcBorders>
              <w:left w:val="nil"/>
            </w:tcBorders>
            <w:noWrap w:val="0"/>
            <w:vAlign w:val="center"/>
          </w:tcPr>
          <w:p w14:paraId="5587D53E">
            <w:pPr>
              <w:pStyle w:val="17"/>
              <w:bidi w:val="0"/>
              <w:rPr>
                <w:rFonts w:hint="default"/>
              </w:rPr>
            </w:pPr>
            <w:r>
              <w:rPr>
                <w:rFonts w:hint="default"/>
              </w:rPr>
              <w:t>2021-2025</w:t>
            </w:r>
          </w:p>
        </w:tc>
      </w:tr>
      <w:tr w14:paraId="7B67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0" w:type="pct"/>
            <w:noWrap w:val="0"/>
            <w:vAlign w:val="center"/>
          </w:tcPr>
          <w:p w14:paraId="60F80782">
            <w:pPr>
              <w:pStyle w:val="17"/>
              <w:bidi w:val="0"/>
              <w:rPr>
                <w:rFonts w:hint="default"/>
              </w:rPr>
            </w:pPr>
            <w:r>
              <w:rPr>
                <w:rFonts w:hint="default"/>
              </w:rPr>
              <w:t>3</w:t>
            </w:r>
          </w:p>
        </w:tc>
        <w:tc>
          <w:tcPr>
            <w:tcW w:w="272" w:type="pct"/>
            <w:noWrap w:val="0"/>
            <w:vAlign w:val="center"/>
          </w:tcPr>
          <w:p w14:paraId="1300B4AC">
            <w:pPr>
              <w:pStyle w:val="17"/>
              <w:bidi w:val="0"/>
              <w:rPr>
                <w:rFonts w:hint="default"/>
              </w:rPr>
            </w:pPr>
            <w:r>
              <w:rPr>
                <w:rFonts w:hint="default"/>
              </w:rPr>
              <w:t>江源区城区</w:t>
            </w:r>
          </w:p>
        </w:tc>
        <w:tc>
          <w:tcPr>
            <w:tcW w:w="606" w:type="pct"/>
            <w:noWrap w:val="0"/>
            <w:vAlign w:val="center"/>
          </w:tcPr>
          <w:p w14:paraId="140266F8">
            <w:pPr>
              <w:pStyle w:val="17"/>
              <w:bidi w:val="0"/>
              <w:rPr>
                <w:rFonts w:hint="default"/>
              </w:rPr>
            </w:pPr>
            <w:r>
              <w:rPr>
                <w:rFonts w:hint="default"/>
              </w:rPr>
              <w:t>城区河岸亲水工程</w:t>
            </w:r>
          </w:p>
        </w:tc>
        <w:tc>
          <w:tcPr>
            <w:tcW w:w="2150" w:type="pct"/>
            <w:noWrap w:val="0"/>
            <w:vAlign w:val="center"/>
          </w:tcPr>
          <w:p w14:paraId="3490AE46">
            <w:pPr>
              <w:pStyle w:val="17"/>
              <w:bidi w:val="0"/>
              <w:rPr>
                <w:rFonts w:hint="default"/>
              </w:rPr>
            </w:pPr>
            <w:r>
              <w:rPr>
                <w:rFonts w:hint="default"/>
              </w:rPr>
              <w:t>城区设计浑江流域海绵城市示范段建设，恢复亲水功能。</w:t>
            </w:r>
          </w:p>
        </w:tc>
        <w:tc>
          <w:tcPr>
            <w:tcW w:w="625" w:type="pct"/>
            <w:noWrap w:val="0"/>
            <w:vAlign w:val="center"/>
          </w:tcPr>
          <w:p w14:paraId="328D31D1">
            <w:pPr>
              <w:pStyle w:val="17"/>
              <w:bidi w:val="0"/>
              <w:rPr>
                <w:rFonts w:hint="default"/>
              </w:rPr>
            </w:pPr>
            <w:r>
              <w:rPr>
                <w:rFonts w:hint="default"/>
              </w:rPr>
              <w:t>江源区人民政府</w:t>
            </w:r>
          </w:p>
        </w:tc>
        <w:tc>
          <w:tcPr>
            <w:tcW w:w="548" w:type="pct"/>
            <w:noWrap w:val="0"/>
            <w:vAlign w:val="center"/>
          </w:tcPr>
          <w:p w14:paraId="76226F5F">
            <w:pPr>
              <w:pStyle w:val="17"/>
              <w:bidi w:val="0"/>
              <w:rPr>
                <w:rFonts w:hint="default"/>
              </w:rPr>
            </w:pPr>
            <w:r>
              <w:rPr>
                <w:rFonts w:hint="default"/>
              </w:rPr>
              <w:t>1300</w:t>
            </w:r>
          </w:p>
        </w:tc>
        <w:tc>
          <w:tcPr>
            <w:tcW w:w="536" w:type="pct"/>
            <w:noWrap w:val="0"/>
            <w:vAlign w:val="center"/>
          </w:tcPr>
          <w:p w14:paraId="3E31C6A6">
            <w:pPr>
              <w:pStyle w:val="17"/>
              <w:bidi w:val="0"/>
              <w:rPr>
                <w:rFonts w:hint="default"/>
              </w:rPr>
            </w:pPr>
            <w:r>
              <w:rPr>
                <w:rFonts w:hint="default"/>
              </w:rPr>
              <w:t>2020-2025</w:t>
            </w:r>
          </w:p>
        </w:tc>
      </w:tr>
      <w:tr w14:paraId="45DC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0" w:type="pct"/>
            <w:noWrap w:val="0"/>
            <w:vAlign w:val="center"/>
          </w:tcPr>
          <w:p w14:paraId="4DFB8B1E">
            <w:pPr>
              <w:pStyle w:val="17"/>
              <w:bidi w:val="0"/>
              <w:rPr>
                <w:rFonts w:hint="default"/>
              </w:rPr>
            </w:pPr>
            <w:r>
              <w:rPr>
                <w:rFonts w:hint="default"/>
              </w:rPr>
              <w:t>4</w:t>
            </w:r>
          </w:p>
        </w:tc>
        <w:tc>
          <w:tcPr>
            <w:tcW w:w="272" w:type="pct"/>
            <w:noWrap w:val="0"/>
            <w:vAlign w:val="center"/>
          </w:tcPr>
          <w:p w14:paraId="47AE2DA3">
            <w:pPr>
              <w:pStyle w:val="17"/>
              <w:bidi w:val="0"/>
              <w:rPr>
                <w:rFonts w:hint="default"/>
              </w:rPr>
            </w:pPr>
            <w:r>
              <w:rPr>
                <w:rFonts w:hint="default"/>
              </w:rPr>
              <w:t>江源区城区</w:t>
            </w:r>
          </w:p>
        </w:tc>
        <w:tc>
          <w:tcPr>
            <w:tcW w:w="606" w:type="pct"/>
            <w:noWrap w:val="0"/>
            <w:vAlign w:val="center"/>
          </w:tcPr>
          <w:p w14:paraId="226D0ADC">
            <w:pPr>
              <w:pStyle w:val="17"/>
              <w:bidi w:val="0"/>
              <w:rPr>
                <w:rFonts w:hint="default"/>
              </w:rPr>
            </w:pPr>
            <w:r>
              <w:rPr>
                <w:rFonts w:hint="default"/>
              </w:rPr>
              <w:t>白山市江源区城区防洪排涝工程</w:t>
            </w:r>
          </w:p>
        </w:tc>
        <w:tc>
          <w:tcPr>
            <w:tcW w:w="2150" w:type="pct"/>
            <w:noWrap w:val="0"/>
            <w:vAlign w:val="center"/>
          </w:tcPr>
          <w:p w14:paraId="7DF4C053">
            <w:pPr>
              <w:pStyle w:val="17"/>
              <w:bidi w:val="0"/>
              <w:rPr>
                <w:rFonts w:hint="default"/>
              </w:rPr>
            </w:pPr>
            <w:r>
              <w:rPr>
                <w:rFonts w:hint="default"/>
              </w:rPr>
              <w:t>城区内三条内河(木局沟河、大青沟河、小青沟河)</w:t>
            </w:r>
          </w:p>
        </w:tc>
        <w:tc>
          <w:tcPr>
            <w:tcW w:w="625" w:type="pct"/>
            <w:noWrap w:val="0"/>
            <w:vAlign w:val="center"/>
          </w:tcPr>
          <w:p w14:paraId="102A9122">
            <w:pPr>
              <w:pStyle w:val="17"/>
              <w:bidi w:val="0"/>
              <w:rPr>
                <w:rFonts w:hint="default"/>
              </w:rPr>
            </w:pPr>
            <w:r>
              <w:rPr>
                <w:rFonts w:hint="default"/>
              </w:rPr>
              <w:t>白山市江源区住房和城乡建设局</w:t>
            </w:r>
          </w:p>
        </w:tc>
        <w:tc>
          <w:tcPr>
            <w:tcW w:w="548" w:type="pct"/>
            <w:noWrap w:val="0"/>
            <w:vAlign w:val="center"/>
          </w:tcPr>
          <w:p w14:paraId="2FF12755">
            <w:pPr>
              <w:pStyle w:val="17"/>
              <w:bidi w:val="0"/>
              <w:rPr>
                <w:rFonts w:hint="default"/>
              </w:rPr>
            </w:pPr>
            <w:r>
              <w:rPr>
                <w:rFonts w:hint="default"/>
              </w:rPr>
              <w:t>5000</w:t>
            </w:r>
          </w:p>
        </w:tc>
        <w:tc>
          <w:tcPr>
            <w:tcW w:w="536" w:type="pct"/>
            <w:noWrap w:val="0"/>
            <w:vAlign w:val="center"/>
          </w:tcPr>
          <w:p w14:paraId="66B5792A">
            <w:pPr>
              <w:pStyle w:val="17"/>
              <w:bidi w:val="0"/>
              <w:rPr>
                <w:rFonts w:hint="default"/>
              </w:rPr>
            </w:pPr>
            <w:r>
              <w:rPr>
                <w:rFonts w:hint="default"/>
              </w:rPr>
              <w:t>2022-2023</w:t>
            </w:r>
          </w:p>
        </w:tc>
      </w:tr>
      <w:tr w14:paraId="606BF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0" w:type="pct"/>
            <w:noWrap w:val="0"/>
            <w:vAlign w:val="center"/>
          </w:tcPr>
          <w:p w14:paraId="28D2E4C2">
            <w:pPr>
              <w:pStyle w:val="17"/>
              <w:bidi w:val="0"/>
              <w:rPr>
                <w:rFonts w:hint="default"/>
              </w:rPr>
            </w:pPr>
            <w:r>
              <w:rPr>
                <w:rFonts w:hint="default"/>
              </w:rPr>
              <w:t>5</w:t>
            </w:r>
          </w:p>
        </w:tc>
        <w:tc>
          <w:tcPr>
            <w:tcW w:w="272" w:type="pct"/>
            <w:noWrap w:val="0"/>
            <w:vAlign w:val="center"/>
          </w:tcPr>
          <w:p w14:paraId="55494A83">
            <w:pPr>
              <w:pStyle w:val="17"/>
              <w:bidi w:val="0"/>
              <w:rPr>
                <w:rFonts w:hint="default"/>
              </w:rPr>
            </w:pPr>
            <w:r>
              <w:rPr>
                <w:rFonts w:hint="default"/>
              </w:rPr>
              <w:t>江源区大阳岔镇</w:t>
            </w:r>
          </w:p>
        </w:tc>
        <w:tc>
          <w:tcPr>
            <w:tcW w:w="606" w:type="pct"/>
            <w:noWrap w:val="0"/>
            <w:vAlign w:val="center"/>
          </w:tcPr>
          <w:p w14:paraId="76F7B972">
            <w:pPr>
              <w:pStyle w:val="17"/>
              <w:bidi w:val="0"/>
              <w:rPr>
                <w:rFonts w:hint="default"/>
              </w:rPr>
            </w:pPr>
            <w:r>
              <w:rPr>
                <w:rFonts w:hint="default"/>
              </w:rPr>
              <w:t>白山市江源区建制镇污水处理处置设施工程</w:t>
            </w:r>
          </w:p>
        </w:tc>
        <w:tc>
          <w:tcPr>
            <w:tcW w:w="2150" w:type="pct"/>
            <w:noWrap w:val="0"/>
            <w:vAlign w:val="center"/>
          </w:tcPr>
          <w:p w14:paraId="79DED8F4">
            <w:pPr>
              <w:pStyle w:val="17"/>
              <w:bidi w:val="0"/>
              <w:rPr>
                <w:rFonts w:hint="default"/>
              </w:rPr>
            </w:pPr>
            <w:r>
              <w:rPr>
                <w:rFonts w:hint="default"/>
              </w:rPr>
              <w:t>在白山市江源区大阳岔镇新建污水处理站1座，污水处理规模约400m</w:t>
            </w:r>
            <w:r>
              <w:rPr>
                <w:rFonts w:hint="default"/>
                <w:vertAlign w:val="superscript"/>
              </w:rPr>
              <w:t>3</w:t>
            </w:r>
            <w:r>
              <w:rPr>
                <w:rFonts w:hint="default"/>
              </w:rPr>
              <w:t>/d，建设管网1.5km</w:t>
            </w:r>
          </w:p>
        </w:tc>
        <w:tc>
          <w:tcPr>
            <w:tcW w:w="625" w:type="pct"/>
            <w:noWrap w:val="0"/>
            <w:vAlign w:val="center"/>
          </w:tcPr>
          <w:p w14:paraId="33A8205C">
            <w:pPr>
              <w:pStyle w:val="17"/>
              <w:bidi w:val="0"/>
              <w:rPr>
                <w:rFonts w:hint="default"/>
              </w:rPr>
            </w:pPr>
            <w:r>
              <w:rPr>
                <w:rFonts w:hint="default"/>
              </w:rPr>
              <w:t>白山市江源区住房和城乡建设局</w:t>
            </w:r>
          </w:p>
        </w:tc>
        <w:tc>
          <w:tcPr>
            <w:tcW w:w="548" w:type="pct"/>
            <w:noWrap w:val="0"/>
            <w:vAlign w:val="center"/>
          </w:tcPr>
          <w:p w14:paraId="5BA0BA66">
            <w:pPr>
              <w:pStyle w:val="17"/>
              <w:bidi w:val="0"/>
              <w:rPr>
                <w:rFonts w:hint="default"/>
              </w:rPr>
            </w:pPr>
            <w:r>
              <w:rPr>
                <w:rFonts w:hint="default"/>
              </w:rPr>
              <w:t>560</w:t>
            </w:r>
          </w:p>
        </w:tc>
        <w:tc>
          <w:tcPr>
            <w:tcW w:w="536" w:type="pct"/>
            <w:noWrap w:val="0"/>
            <w:vAlign w:val="center"/>
          </w:tcPr>
          <w:p w14:paraId="22C0409A">
            <w:pPr>
              <w:pStyle w:val="17"/>
              <w:bidi w:val="0"/>
              <w:rPr>
                <w:rFonts w:hint="default"/>
              </w:rPr>
            </w:pPr>
            <w:r>
              <w:rPr>
                <w:rFonts w:hint="default"/>
              </w:rPr>
              <w:t>2022-2024</w:t>
            </w:r>
          </w:p>
        </w:tc>
      </w:tr>
      <w:tr w14:paraId="3989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0" w:type="pct"/>
            <w:noWrap w:val="0"/>
            <w:vAlign w:val="center"/>
          </w:tcPr>
          <w:p w14:paraId="76C302FC">
            <w:pPr>
              <w:pStyle w:val="17"/>
              <w:bidi w:val="0"/>
              <w:rPr>
                <w:rFonts w:hint="default"/>
              </w:rPr>
            </w:pPr>
            <w:r>
              <w:rPr>
                <w:rFonts w:hint="default"/>
              </w:rPr>
              <w:t>6</w:t>
            </w:r>
          </w:p>
        </w:tc>
        <w:tc>
          <w:tcPr>
            <w:tcW w:w="272" w:type="pct"/>
            <w:noWrap w:val="0"/>
            <w:vAlign w:val="center"/>
          </w:tcPr>
          <w:p w14:paraId="77DAB7CE">
            <w:pPr>
              <w:pStyle w:val="17"/>
              <w:bidi w:val="0"/>
              <w:rPr>
                <w:rFonts w:hint="default"/>
              </w:rPr>
            </w:pPr>
            <w:r>
              <w:rPr>
                <w:rFonts w:hint="default"/>
              </w:rPr>
              <w:t>江源区城区</w:t>
            </w:r>
          </w:p>
        </w:tc>
        <w:tc>
          <w:tcPr>
            <w:tcW w:w="606" w:type="pct"/>
            <w:noWrap w:val="0"/>
            <w:vAlign w:val="center"/>
          </w:tcPr>
          <w:p w14:paraId="04248240">
            <w:pPr>
              <w:pStyle w:val="17"/>
              <w:bidi w:val="0"/>
              <w:rPr>
                <w:rFonts w:hint="default"/>
              </w:rPr>
            </w:pPr>
            <w:r>
              <w:rPr>
                <w:rFonts w:hint="default"/>
              </w:rPr>
              <w:t>白山市江源区城区生活污水入网改造及雨污分流改造项目</w:t>
            </w:r>
          </w:p>
        </w:tc>
        <w:tc>
          <w:tcPr>
            <w:tcW w:w="2150" w:type="pct"/>
            <w:noWrap w:val="0"/>
            <w:vAlign w:val="center"/>
          </w:tcPr>
          <w:p w14:paraId="37B939AC">
            <w:pPr>
              <w:pStyle w:val="17"/>
              <w:bidi w:val="0"/>
              <w:rPr>
                <w:rFonts w:hint="default"/>
              </w:rPr>
            </w:pPr>
            <w:r>
              <w:rPr>
                <w:rFonts w:hint="default"/>
              </w:rPr>
              <w:t>1.生活污水未纳入市政管网的居民小区。2.城区内主干路、巷路雨污混流点。</w:t>
            </w:r>
          </w:p>
        </w:tc>
        <w:tc>
          <w:tcPr>
            <w:tcW w:w="625" w:type="pct"/>
            <w:noWrap w:val="0"/>
            <w:vAlign w:val="center"/>
          </w:tcPr>
          <w:p w14:paraId="437F9563">
            <w:pPr>
              <w:pStyle w:val="17"/>
              <w:bidi w:val="0"/>
              <w:rPr>
                <w:rFonts w:hint="default"/>
              </w:rPr>
            </w:pPr>
            <w:r>
              <w:rPr>
                <w:rFonts w:hint="default"/>
              </w:rPr>
              <w:t>白山市江源区住房和城乡建设局</w:t>
            </w:r>
          </w:p>
        </w:tc>
        <w:tc>
          <w:tcPr>
            <w:tcW w:w="548" w:type="pct"/>
            <w:noWrap w:val="0"/>
            <w:vAlign w:val="center"/>
          </w:tcPr>
          <w:p w14:paraId="3D48AC32">
            <w:pPr>
              <w:pStyle w:val="17"/>
              <w:bidi w:val="0"/>
              <w:rPr>
                <w:rFonts w:hint="default"/>
              </w:rPr>
            </w:pPr>
            <w:r>
              <w:rPr>
                <w:rFonts w:hint="default"/>
              </w:rPr>
              <w:t>4500</w:t>
            </w:r>
          </w:p>
        </w:tc>
        <w:tc>
          <w:tcPr>
            <w:tcW w:w="536" w:type="pct"/>
            <w:noWrap w:val="0"/>
            <w:vAlign w:val="center"/>
          </w:tcPr>
          <w:p w14:paraId="34F1202C">
            <w:pPr>
              <w:pStyle w:val="17"/>
              <w:bidi w:val="0"/>
              <w:rPr>
                <w:rFonts w:hint="default"/>
              </w:rPr>
            </w:pPr>
            <w:r>
              <w:rPr>
                <w:rFonts w:hint="default"/>
              </w:rPr>
              <w:t>2022-2024</w:t>
            </w:r>
          </w:p>
        </w:tc>
      </w:tr>
      <w:tr w14:paraId="2D438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0" w:type="pct"/>
            <w:noWrap w:val="0"/>
            <w:vAlign w:val="center"/>
          </w:tcPr>
          <w:p w14:paraId="5D457605">
            <w:pPr>
              <w:pStyle w:val="17"/>
              <w:bidi w:val="0"/>
              <w:rPr>
                <w:rFonts w:hint="default"/>
              </w:rPr>
            </w:pPr>
            <w:r>
              <w:rPr>
                <w:rFonts w:hint="default"/>
              </w:rPr>
              <w:t>7</w:t>
            </w:r>
          </w:p>
        </w:tc>
        <w:tc>
          <w:tcPr>
            <w:tcW w:w="272" w:type="pct"/>
            <w:noWrap w:val="0"/>
            <w:vAlign w:val="center"/>
          </w:tcPr>
          <w:p w14:paraId="52113FB7">
            <w:pPr>
              <w:pStyle w:val="17"/>
              <w:bidi w:val="0"/>
              <w:rPr>
                <w:rFonts w:hint="default"/>
              </w:rPr>
            </w:pPr>
            <w:r>
              <w:rPr>
                <w:rFonts w:hint="default"/>
              </w:rPr>
              <w:t>江源区</w:t>
            </w:r>
          </w:p>
        </w:tc>
        <w:tc>
          <w:tcPr>
            <w:tcW w:w="606" w:type="pct"/>
            <w:noWrap w:val="0"/>
            <w:vAlign w:val="center"/>
          </w:tcPr>
          <w:p w14:paraId="784B48A8">
            <w:pPr>
              <w:pStyle w:val="17"/>
              <w:bidi w:val="0"/>
              <w:rPr>
                <w:rFonts w:hint="default"/>
              </w:rPr>
            </w:pPr>
            <w:r>
              <w:rPr>
                <w:rFonts w:hint="default"/>
              </w:rPr>
              <w:t>吉林人参生命科技产业园污水处理及排放工程</w:t>
            </w:r>
          </w:p>
        </w:tc>
        <w:tc>
          <w:tcPr>
            <w:tcW w:w="2150" w:type="pct"/>
            <w:noWrap w:val="0"/>
            <w:vAlign w:val="center"/>
          </w:tcPr>
          <w:p w14:paraId="712983A0">
            <w:pPr>
              <w:pStyle w:val="17"/>
              <w:bidi w:val="0"/>
              <w:rPr>
                <w:rFonts w:hint="default"/>
              </w:rPr>
            </w:pPr>
            <w:r>
              <w:rPr>
                <w:rFonts w:hint="default"/>
              </w:rPr>
              <w:t>新建规模为5000m</w:t>
            </w:r>
            <w:r>
              <w:rPr>
                <w:rFonts w:hint="default"/>
                <w:vertAlign w:val="superscript"/>
              </w:rPr>
              <w:t>3</w:t>
            </w:r>
            <w:r>
              <w:rPr>
                <w:rFonts w:hint="default"/>
              </w:rPr>
              <w:t>/d的污水处理厂1座；新建配套污水管网，污水处理厂按二期规模设计布局，本工程完成一期工程建设；新建污水主管线11340m，按二期规模一次建成。污水处理出水达到一级A标准。</w:t>
            </w:r>
          </w:p>
        </w:tc>
        <w:tc>
          <w:tcPr>
            <w:tcW w:w="625" w:type="pct"/>
            <w:noWrap w:val="0"/>
            <w:vAlign w:val="center"/>
          </w:tcPr>
          <w:p w14:paraId="6AABE28E">
            <w:pPr>
              <w:pStyle w:val="17"/>
              <w:bidi w:val="0"/>
              <w:rPr>
                <w:rFonts w:hint="default"/>
              </w:rPr>
            </w:pPr>
            <w:r>
              <w:rPr>
                <w:rFonts w:hint="default"/>
              </w:rPr>
              <w:t>白山市江源区住房和城乡建设局</w:t>
            </w:r>
          </w:p>
        </w:tc>
        <w:tc>
          <w:tcPr>
            <w:tcW w:w="548" w:type="pct"/>
            <w:noWrap w:val="0"/>
            <w:vAlign w:val="center"/>
          </w:tcPr>
          <w:p w14:paraId="7B9DADE4">
            <w:pPr>
              <w:pStyle w:val="17"/>
              <w:bidi w:val="0"/>
              <w:rPr>
                <w:rFonts w:hint="default"/>
              </w:rPr>
            </w:pPr>
            <w:r>
              <w:rPr>
                <w:rFonts w:hint="default"/>
              </w:rPr>
              <w:t>7987.64</w:t>
            </w:r>
          </w:p>
        </w:tc>
        <w:tc>
          <w:tcPr>
            <w:tcW w:w="536" w:type="pct"/>
            <w:noWrap w:val="0"/>
            <w:vAlign w:val="center"/>
          </w:tcPr>
          <w:p w14:paraId="478A3715">
            <w:pPr>
              <w:pStyle w:val="17"/>
              <w:bidi w:val="0"/>
              <w:rPr>
                <w:rFonts w:hint="default"/>
              </w:rPr>
            </w:pPr>
            <w:r>
              <w:rPr>
                <w:rFonts w:hint="default"/>
              </w:rPr>
              <w:t>2020-2022</w:t>
            </w:r>
          </w:p>
        </w:tc>
      </w:tr>
      <w:tr w14:paraId="44813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0" w:type="pct"/>
            <w:noWrap w:val="0"/>
            <w:vAlign w:val="center"/>
          </w:tcPr>
          <w:p w14:paraId="103F1F25">
            <w:pPr>
              <w:pStyle w:val="17"/>
              <w:bidi w:val="0"/>
              <w:rPr>
                <w:rFonts w:hint="default"/>
              </w:rPr>
            </w:pPr>
            <w:r>
              <w:rPr>
                <w:rFonts w:hint="default"/>
              </w:rPr>
              <w:t>8</w:t>
            </w:r>
          </w:p>
        </w:tc>
        <w:tc>
          <w:tcPr>
            <w:tcW w:w="272" w:type="pct"/>
            <w:noWrap w:val="0"/>
            <w:vAlign w:val="center"/>
          </w:tcPr>
          <w:p w14:paraId="74812131">
            <w:pPr>
              <w:pStyle w:val="17"/>
              <w:bidi w:val="0"/>
              <w:rPr>
                <w:rFonts w:hint="default"/>
              </w:rPr>
            </w:pPr>
            <w:r>
              <w:rPr>
                <w:rFonts w:hint="default"/>
              </w:rPr>
              <w:t>江源区</w:t>
            </w:r>
          </w:p>
        </w:tc>
        <w:tc>
          <w:tcPr>
            <w:tcW w:w="606" w:type="pct"/>
            <w:noWrap w:val="0"/>
            <w:vAlign w:val="center"/>
          </w:tcPr>
          <w:p w14:paraId="0D689550">
            <w:pPr>
              <w:pStyle w:val="17"/>
              <w:bidi w:val="0"/>
              <w:rPr>
                <w:rFonts w:hint="default"/>
              </w:rPr>
            </w:pPr>
            <w:r>
              <w:rPr>
                <w:rFonts w:hint="default"/>
              </w:rPr>
              <w:t>江源区污水厂污泥无害化处理处置项目</w:t>
            </w:r>
          </w:p>
        </w:tc>
        <w:tc>
          <w:tcPr>
            <w:tcW w:w="2150" w:type="pct"/>
            <w:noWrap w:val="0"/>
            <w:vAlign w:val="center"/>
          </w:tcPr>
          <w:p w14:paraId="4151190B">
            <w:pPr>
              <w:pStyle w:val="17"/>
              <w:bidi w:val="0"/>
              <w:rPr>
                <w:rFonts w:hint="default"/>
              </w:rPr>
            </w:pPr>
            <w:r>
              <w:rPr>
                <w:rFonts w:hint="default"/>
              </w:rPr>
              <w:t>江源区垃圾处理厂污泥处置能力为30吨/天，采用好氧发酵处置工艺</w:t>
            </w:r>
          </w:p>
        </w:tc>
        <w:tc>
          <w:tcPr>
            <w:tcW w:w="625" w:type="pct"/>
            <w:noWrap w:val="0"/>
            <w:vAlign w:val="center"/>
          </w:tcPr>
          <w:p w14:paraId="73FCE809">
            <w:pPr>
              <w:pStyle w:val="17"/>
              <w:bidi w:val="0"/>
              <w:rPr>
                <w:rFonts w:hint="default"/>
              </w:rPr>
            </w:pPr>
            <w:r>
              <w:rPr>
                <w:rFonts w:hint="default"/>
              </w:rPr>
              <w:t>白山市江源区住房和城乡建设局</w:t>
            </w:r>
          </w:p>
        </w:tc>
        <w:tc>
          <w:tcPr>
            <w:tcW w:w="548" w:type="pct"/>
            <w:noWrap w:val="0"/>
            <w:vAlign w:val="center"/>
          </w:tcPr>
          <w:p w14:paraId="4B589E13">
            <w:pPr>
              <w:pStyle w:val="17"/>
              <w:bidi w:val="0"/>
              <w:rPr>
                <w:rFonts w:hint="default"/>
              </w:rPr>
            </w:pPr>
            <w:r>
              <w:rPr>
                <w:rFonts w:hint="default"/>
              </w:rPr>
              <w:t>700</w:t>
            </w:r>
          </w:p>
        </w:tc>
        <w:tc>
          <w:tcPr>
            <w:tcW w:w="536" w:type="pct"/>
            <w:noWrap w:val="0"/>
            <w:vAlign w:val="center"/>
          </w:tcPr>
          <w:p w14:paraId="2892B9F7">
            <w:pPr>
              <w:pStyle w:val="17"/>
              <w:bidi w:val="0"/>
              <w:rPr>
                <w:rFonts w:hint="default"/>
              </w:rPr>
            </w:pPr>
            <w:r>
              <w:rPr>
                <w:rFonts w:hint="default"/>
              </w:rPr>
              <w:t>2022年</w:t>
            </w:r>
          </w:p>
        </w:tc>
      </w:tr>
      <w:tr w14:paraId="64074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0" w:type="pct"/>
            <w:noWrap w:val="0"/>
            <w:vAlign w:val="center"/>
          </w:tcPr>
          <w:p w14:paraId="2BD5C59E">
            <w:pPr>
              <w:pStyle w:val="17"/>
              <w:bidi w:val="0"/>
              <w:rPr>
                <w:rFonts w:hint="default"/>
              </w:rPr>
            </w:pPr>
            <w:r>
              <w:rPr>
                <w:rFonts w:hint="default"/>
              </w:rPr>
              <w:t>9</w:t>
            </w:r>
          </w:p>
        </w:tc>
        <w:tc>
          <w:tcPr>
            <w:tcW w:w="272" w:type="pct"/>
            <w:noWrap w:val="0"/>
            <w:vAlign w:val="center"/>
          </w:tcPr>
          <w:p w14:paraId="63F51FF0">
            <w:pPr>
              <w:pStyle w:val="17"/>
              <w:bidi w:val="0"/>
              <w:rPr>
                <w:rFonts w:hint="default"/>
              </w:rPr>
            </w:pPr>
            <w:r>
              <w:rPr>
                <w:rFonts w:hint="default"/>
              </w:rPr>
              <w:t>江源区</w:t>
            </w:r>
          </w:p>
        </w:tc>
        <w:tc>
          <w:tcPr>
            <w:tcW w:w="606" w:type="pct"/>
            <w:noWrap w:val="0"/>
            <w:vAlign w:val="center"/>
          </w:tcPr>
          <w:p w14:paraId="29BA9B50">
            <w:pPr>
              <w:pStyle w:val="17"/>
              <w:bidi w:val="0"/>
              <w:rPr>
                <w:rFonts w:hint="default"/>
              </w:rPr>
            </w:pPr>
            <w:r>
              <w:rPr>
                <w:rFonts w:hint="default"/>
              </w:rPr>
              <w:t>白山市城区水源（西北岔水库、曲家营水库）供给保障提升工程</w:t>
            </w:r>
          </w:p>
        </w:tc>
        <w:tc>
          <w:tcPr>
            <w:tcW w:w="2150" w:type="pct"/>
            <w:noWrap w:val="0"/>
            <w:vAlign w:val="center"/>
          </w:tcPr>
          <w:p w14:paraId="25808D10">
            <w:pPr>
              <w:pStyle w:val="17"/>
              <w:bidi w:val="0"/>
              <w:rPr>
                <w:rFonts w:hint="default"/>
              </w:rPr>
            </w:pPr>
            <w:r>
              <w:rPr>
                <w:rFonts w:hint="default"/>
              </w:rPr>
              <w:t>西北岔水库部分工程如下：①坝下一级保护区封闭围栏和警卫室；②水质在线监测系统；③一级保护区安全监控系统；④输水管线取水口防洪及封闭工程；⑤大坝应急抢险公路6km。</w:t>
            </w:r>
          </w:p>
        </w:tc>
        <w:tc>
          <w:tcPr>
            <w:tcW w:w="625" w:type="pct"/>
            <w:noWrap w:val="0"/>
            <w:vAlign w:val="center"/>
          </w:tcPr>
          <w:p w14:paraId="12C0BC06">
            <w:pPr>
              <w:pStyle w:val="17"/>
              <w:bidi w:val="0"/>
              <w:rPr>
                <w:rFonts w:hint="default"/>
              </w:rPr>
            </w:pPr>
            <w:r>
              <w:rPr>
                <w:rFonts w:hint="default"/>
              </w:rPr>
              <w:t>白山市水务局</w:t>
            </w:r>
          </w:p>
        </w:tc>
        <w:tc>
          <w:tcPr>
            <w:tcW w:w="548" w:type="pct"/>
            <w:noWrap w:val="0"/>
            <w:vAlign w:val="center"/>
          </w:tcPr>
          <w:p w14:paraId="22D162B4">
            <w:pPr>
              <w:pStyle w:val="17"/>
              <w:bidi w:val="0"/>
              <w:rPr>
                <w:rFonts w:hint="default"/>
              </w:rPr>
            </w:pPr>
            <w:r>
              <w:rPr>
                <w:rFonts w:hint="default"/>
              </w:rPr>
              <w:t>19839.71（含曲家营水库工程投资）</w:t>
            </w:r>
          </w:p>
        </w:tc>
        <w:tc>
          <w:tcPr>
            <w:tcW w:w="536" w:type="pct"/>
            <w:noWrap w:val="0"/>
            <w:vAlign w:val="center"/>
          </w:tcPr>
          <w:p w14:paraId="4B8E15AE">
            <w:pPr>
              <w:pStyle w:val="17"/>
              <w:bidi w:val="0"/>
              <w:rPr>
                <w:rFonts w:hint="default"/>
              </w:rPr>
            </w:pPr>
            <w:r>
              <w:rPr>
                <w:rFonts w:hint="default"/>
              </w:rPr>
              <w:t>2021-2024</w:t>
            </w:r>
          </w:p>
        </w:tc>
      </w:tr>
      <w:tr w14:paraId="19233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0" w:type="pct"/>
            <w:noWrap w:val="0"/>
            <w:vAlign w:val="center"/>
          </w:tcPr>
          <w:p w14:paraId="59F9A75D">
            <w:pPr>
              <w:pStyle w:val="17"/>
              <w:bidi w:val="0"/>
              <w:rPr>
                <w:rFonts w:hint="default"/>
              </w:rPr>
            </w:pPr>
            <w:r>
              <w:rPr>
                <w:rFonts w:hint="default"/>
              </w:rPr>
              <w:t>10</w:t>
            </w:r>
          </w:p>
        </w:tc>
        <w:tc>
          <w:tcPr>
            <w:tcW w:w="272" w:type="pct"/>
            <w:noWrap w:val="0"/>
            <w:vAlign w:val="center"/>
          </w:tcPr>
          <w:p w14:paraId="15EA3856">
            <w:pPr>
              <w:pStyle w:val="17"/>
              <w:bidi w:val="0"/>
              <w:rPr>
                <w:rFonts w:hint="default"/>
              </w:rPr>
            </w:pPr>
            <w:r>
              <w:rPr>
                <w:rFonts w:hint="default"/>
              </w:rPr>
              <w:t>江源区</w:t>
            </w:r>
          </w:p>
        </w:tc>
        <w:tc>
          <w:tcPr>
            <w:tcW w:w="606" w:type="pct"/>
            <w:noWrap w:val="0"/>
            <w:vAlign w:val="center"/>
          </w:tcPr>
          <w:p w14:paraId="3A04B596">
            <w:pPr>
              <w:pStyle w:val="17"/>
              <w:bidi w:val="0"/>
              <w:rPr>
                <w:rFonts w:hint="default"/>
              </w:rPr>
            </w:pPr>
            <w:r>
              <w:rPr>
                <w:rFonts w:hint="default"/>
              </w:rPr>
              <w:t>浑江上游黑大高速公路取土场生态恢复工程</w:t>
            </w:r>
          </w:p>
        </w:tc>
        <w:tc>
          <w:tcPr>
            <w:tcW w:w="2150" w:type="pct"/>
            <w:noWrap w:val="0"/>
            <w:vAlign w:val="center"/>
          </w:tcPr>
          <w:p w14:paraId="71AFF38A">
            <w:pPr>
              <w:pStyle w:val="17"/>
              <w:bidi w:val="0"/>
              <w:rPr>
                <w:rFonts w:hint="default"/>
              </w:rPr>
            </w:pPr>
            <w:r>
              <w:rPr>
                <w:rFonts w:hint="default"/>
              </w:rPr>
              <w:t>恢复黑大公路施工取土场，生态恢复面积35000m</w:t>
            </w:r>
            <w:r>
              <w:rPr>
                <w:rFonts w:hint="default"/>
                <w:vertAlign w:val="superscript"/>
              </w:rPr>
              <w:t>2</w:t>
            </w:r>
            <w:r>
              <w:rPr>
                <w:rFonts w:hint="default"/>
              </w:rPr>
              <w:t>，回填、平整、恢复植被</w:t>
            </w:r>
          </w:p>
        </w:tc>
        <w:tc>
          <w:tcPr>
            <w:tcW w:w="625" w:type="pct"/>
            <w:noWrap w:val="0"/>
            <w:vAlign w:val="center"/>
          </w:tcPr>
          <w:p w14:paraId="072DB0B1">
            <w:pPr>
              <w:pStyle w:val="17"/>
              <w:bidi w:val="0"/>
              <w:rPr>
                <w:rFonts w:hint="default"/>
              </w:rPr>
            </w:pPr>
            <w:r>
              <w:rPr>
                <w:rFonts w:hint="default"/>
              </w:rPr>
              <w:t>江源区人民政府</w:t>
            </w:r>
          </w:p>
        </w:tc>
        <w:tc>
          <w:tcPr>
            <w:tcW w:w="548" w:type="pct"/>
            <w:noWrap w:val="0"/>
            <w:vAlign w:val="center"/>
          </w:tcPr>
          <w:p w14:paraId="2E96DA74">
            <w:pPr>
              <w:pStyle w:val="17"/>
              <w:bidi w:val="0"/>
              <w:rPr>
                <w:rFonts w:hint="default"/>
              </w:rPr>
            </w:pPr>
            <w:r>
              <w:rPr>
                <w:rFonts w:hint="default"/>
              </w:rPr>
              <w:t>1525</w:t>
            </w:r>
          </w:p>
        </w:tc>
        <w:tc>
          <w:tcPr>
            <w:tcW w:w="536" w:type="pct"/>
            <w:noWrap w:val="0"/>
            <w:vAlign w:val="center"/>
          </w:tcPr>
          <w:p w14:paraId="1279713C">
            <w:pPr>
              <w:pStyle w:val="17"/>
              <w:bidi w:val="0"/>
              <w:rPr>
                <w:rFonts w:hint="default"/>
              </w:rPr>
            </w:pPr>
            <w:r>
              <w:rPr>
                <w:rFonts w:hint="default"/>
              </w:rPr>
              <w:t>2022-2024</w:t>
            </w:r>
          </w:p>
        </w:tc>
      </w:tr>
      <w:tr w14:paraId="5D1A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0" w:type="pct"/>
            <w:noWrap w:val="0"/>
            <w:vAlign w:val="center"/>
          </w:tcPr>
          <w:p w14:paraId="3DE5EDC0">
            <w:pPr>
              <w:pStyle w:val="17"/>
              <w:bidi w:val="0"/>
              <w:rPr>
                <w:rFonts w:hint="default"/>
              </w:rPr>
            </w:pPr>
            <w:r>
              <w:rPr>
                <w:rFonts w:hint="default"/>
              </w:rPr>
              <w:t>11</w:t>
            </w:r>
          </w:p>
        </w:tc>
        <w:tc>
          <w:tcPr>
            <w:tcW w:w="272" w:type="pct"/>
            <w:noWrap w:val="0"/>
            <w:vAlign w:val="center"/>
          </w:tcPr>
          <w:p w14:paraId="4060174C">
            <w:pPr>
              <w:pStyle w:val="17"/>
              <w:bidi w:val="0"/>
              <w:rPr>
                <w:rFonts w:hint="default"/>
              </w:rPr>
            </w:pPr>
            <w:r>
              <w:rPr>
                <w:rFonts w:hint="default"/>
              </w:rPr>
              <w:t>东风矿区</w:t>
            </w:r>
          </w:p>
        </w:tc>
        <w:tc>
          <w:tcPr>
            <w:tcW w:w="606" w:type="pct"/>
            <w:noWrap w:val="0"/>
            <w:vAlign w:val="center"/>
          </w:tcPr>
          <w:p w14:paraId="574B1BB7">
            <w:pPr>
              <w:pStyle w:val="17"/>
              <w:bidi w:val="0"/>
              <w:rPr>
                <w:rFonts w:hint="default"/>
              </w:rPr>
            </w:pPr>
            <w:r>
              <w:rPr>
                <w:rFonts w:hint="default"/>
              </w:rPr>
              <w:t>东风矿区矿山环境综合整治项目（山水林田湖草二期项目）</w:t>
            </w:r>
          </w:p>
        </w:tc>
        <w:tc>
          <w:tcPr>
            <w:tcW w:w="2150" w:type="pct"/>
            <w:noWrap w:val="0"/>
            <w:vAlign w:val="center"/>
          </w:tcPr>
          <w:p w14:paraId="2B55E506">
            <w:pPr>
              <w:pStyle w:val="17"/>
              <w:bidi w:val="0"/>
              <w:rPr>
                <w:rFonts w:hint="default"/>
              </w:rPr>
            </w:pPr>
            <w:r>
              <w:rPr>
                <w:rFonts w:hint="default"/>
              </w:rPr>
              <w:t>主要建设内容为：废弃建筑物及废弃居民区清理、土地复垦。废弃建筑物及废弃居民区清理面积约22.06公顷，客土11.03万立方米。</w:t>
            </w:r>
          </w:p>
        </w:tc>
        <w:tc>
          <w:tcPr>
            <w:tcW w:w="625" w:type="pct"/>
            <w:noWrap w:val="0"/>
            <w:vAlign w:val="center"/>
          </w:tcPr>
          <w:p w14:paraId="1B422CE5">
            <w:pPr>
              <w:pStyle w:val="17"/>
              <w:bidi w:val="0"/>
              <w:rPr>
                <w:rFonts w:hint="default"/>
              </w:rPr>
            </w:pPr>
            <w:r>
              <w:rPr>
                <w:rFonts w:hint="default"/>
              </w:rPr>
              <w:t>江源区人民政府</w:t>
            </w:r>
          </w:p>
        </w:tc>
        <w:tc>
          <w:tcPr>
            <w:tcW w:w="548" w:type="pct"/>
            <w:noWrap w:val="0"/>
            <w:vAlign w:val="center"/>
          </w:tcPr>
          <w:p w14:paraId="0E937890">
            <w:pPr>
              <w:pStyle w:val="17"/>
              <w:bidi w:val="0"/>
              <w:rPr>
                <w:rFonts w:hint="default"/>
              </w:rPr>
            </w:pPr>
          </w:p>
        </w:tc>
        <w:tc>
          <w:tcPr>
            <w:tcW w:w="536" w:type="pct"/>
            <w:noWrap w:val="0"/>
            <w:vAlign w:val="center"/>
          </w:tcPr>
          <w:p w14:paraId="1EC1DE16">
            <w:pPr>
              <w:pStyle w:val="17"/>
              <w:bidi w:val="0"/>
              <w:rPr>
                <w:rFonts w:hint="default"/>
              </w:rPr>
            </w:pPr>
            <w:r>
              <w:rPr>
                <w:rFonts w:hint="default"/>
              </w:rPr>
              <w:t>2021-2025</w:t>
            </w:r>
          </w:p>
        </w:tc>
      </w:tr>
      <w:tr w14:paraId="5F9ED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0" w:type="pct"/>
            <w:noWrap w:val="0"/>
            <w:vAlign w:val="center"/>
          </w:tcPr>
          <w:p w14:paraId="76448D2B">
            <w:pPr>
              <w:pStyle w:val="17"/>
              <w:bidi w:val="0"/>
              <w:rPr>
                <w:rFonts w:hint="default"/>
              </w:rPr>
            </w:pPr>
          </w:p>
        </w:tc>
        <w:tc>
          <w:tcPr>
            <w:tcW w:w="272" w:type="pct"/>
            <w:noWrap w:val="0"/>
            <w:vAlign w:val="center"/>
          </w:tcPr>
          <w:p w14:paraId="2448ED52">
            <w:pPr>
              <w:pStyle w:val="17"/>
              <w:bidi w:val="0"/>
              <w:rPr>
                <w:rFonts w:hint="default"/>
              </w:rPr>
            </w:pPr>
          </w:p>
        </w:tc>
        <w:tc>
          <w:tcPr>
            <w:tcW w:w="606" w:type="pct"/>
            <w:noWrap w:val="0"/>
            <w:vAlign w:val="center"/>
          </w:tcPr>
          <w:p w14:paraId="62081F4A">
            <w:pPr>
              <w:pStyle w:val="17"/>
              <w:bidi w:val="0"/>
              <w:rPr>
                <w:rFonts w:hint="default"/>
              </w:rPr>
            </w:pPr>
          </w:p>
        </w:tc>
        <w:tc>
          <w:tcPr>
            <w:tcW w:w="2150" w:type="pct"/>
            <w:noWrap w:val="0"/>
            <w:vAlign w:val="center"/>
          </w:tcPr>
          <w:p w14:paraId="03D27518">
            <w:pPr>
              <w:pStyle w:val="17"/>
              <w:bidi w:val="0"/>
              <w:rPr>
                <w:rFonts w:hint="default"/>
              </w:rPr>
            </w:pPr>
          </w:p>
        </w:tc>
        <w:tc>
          <w:tcPr>
            <w:tcW w:w="625" w:type="pct"/>
            <w:noWrap w:val="0"/>
            <w:vAlign w:val="center"/>
          </w:tcPr>
          <w:p w14:paraId="6845C34C">
            <w:pPr>
              <w:pStyle w:val="17"/>
              <w:bidi w:val="0"/>
              <w:rPr>
                <w:rFonts w:hint="default"/>
              </w:rPr>
            </w:pPr>
          </w:p>
        </w:tc>
        <w:tc>
          <w:tcPr>
            <w:tcW w:w="548" w:type="pct"/>
            <w:noWrap w:val="0"/>
            <w:vAlign w:val="center"/>
          </w:tcPr>
          <w:p w14:paraId="5042900F">
            <w:pPr>
              <w:pStyle w:val="17"/>
              <w:bidi w:val="0"/>
              <w:rPr>
                <w:rFonts w:hint="default"/>
              </w:rPr>
            </w:pPr>
          </w:p>
        </w:tc>
        <w:tc>
          <w:tcPr>
            <w:tcW w:w="536" w:type="pct"/>
            <w:noWrap w:val="0"/>
            <w:vAlign w:val="center"/>
          </w:tcPr>
          <w:p w14:paraId="46D01941">
            <w:pPr>
              <w:pStyle w:val="17"/>
              <w:bidi w:val="0"/>
              <w:rPr>
                <w:rFonts w:hint="default"/>
              </w:rPr>
            </w:pPr>
          </w:p>
        </w:tc>
      </w:tr>
      <w:tr w14:paraId="160F4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15" w:type="pct"/>
            <w:gridSpan w:val="5"/>
            <w:noWrap w:val="0"/>
            <w:vAlign w:val="center"/>
          </w:tcPr>
          <w:p w14:paraId="79B4D291">
            <w:pPr>
              <w:pStyle w:val="17"/>
              <w:bidi w:val="0"/>
              <w:rPr>
                <w:rFonts w:hint="default"/>
              </w:rPr>
            </w:pPr>
            <w:r>
              <w:rPr>
                <w:rFonts w:hint="default"/>
              </w:rPr>
              <w:t>合计</w:t>
            </w:r>
          </w:p>
        </w:tc>
        <w:tc>
          <w:tcPr>
            <w:tcW w:w="1084" w:type="pct"/>
            <w:gridSpan w:val="2"/>
            <w:noWrap w:val="0"/>
            <w:vAlign w:val="center"/>
          </w:tcPr>
          <w:p w14:paraId="7FA15BAE">
            <w:pPr>
              <w:pStyle w:val="17"/>
              <w:bidi w:val="0"/>
              <w:rPr>
                <w:rFonts w:hint="default"/>
              </w:rPr>
            </w:pPr>
            <w:r>
              <w:rPr>
                <w:rFonts w:hint="default"/>
              </w:rPr>
              <w:t>25376.24（不含西北岔水源地治理项目）</w:t>
            </w:r>
          </w:p>
        </w:tc>
      </w:tr>
    </w:tbl>
    <w:p w14:paraId="42E62F62">
      <w:pPr>
        <w:pStyle w:val="3"/>
        <w:kinsoku/>
        <w:wordWrap/>
        <w:topLinePunct w:val="0"/>
        <w:autoSpaceDE/>
        <w:autoSpaceDN/>
        <w:bidi w:val="0"/>
        <w:adjustRightInd/>
        <w:snapToGrid/>
        <w:spacing w:before="0" w:after="0" w:line="360" w:lineRule="auto"/>
        <w:textAlignment w:val="auto"/>
        <w:rPr>
          <w:rFonts w:hint="default" w:ascii="Times New Roman" w:hAnsi="Times New Roman" w:cs="Times New Roman"/>
          <w:color w:val="auto"/>
          <w:sz w:val="28"/>
          <w:szCs w:val="28"/>
        </w:rPr>
        <w:sectPr>
          <w:pgSz w:w="16838" w:h="11906" w:orient="landscape"/>
          <w:pgMar w:top="1800" w:right="1440" w:bottom="1800" w:left="1440" w:header="851" w:footer="992" w:gutter="0"/>
          <w:pgNumType w:fmt="numberInDash"/>
          <w:cols w:space="0" w:num="1"/>
          <w:rtlGutter w:val="0"/>
          <w:docGrid w:type="lines" w:linePitch="332" w:charSpace="0"/>
        </w:sectPr>
      </w:pPr>
      <w:bookmarkStart w:id="120" w:name="_Toc82172439"/>
    </w:p>
    <w:p w14:paraId="2C9607A9">
      <w:pPr>
        <w:pStyle w:val="3"/>
        <w:bidi w:val="0"/>
        <w:rPr>
          <w:rFonts w:hint="default"/>
        </w:rPr>
      </w:pPr>
      <w:bookmarkStart w:id="121" w:name="_Toc31518"/>
      <w:r>
        <w:rPr>
          <w:rFonts w:hint="default"/>
        </w:rPr>
        <w:t>西村断面汇水范围</w:t>
      </w:r>
      <w:bookmarkEnd w:id="120"/>
      <w:bookmarkEnd w:id="121"/>
    </w:p>
    <w:p w14:paraId="4D183BA4">
      <w:pPr>
        <w:pStyle w:val="16"/>
        <w:bidi w:val="0"/>
        <w:rPr>
          <w:rFonts w:hint="default"/>
        </w:rPr>
      </w:pPr>
      <w:r>
        <w:rPr>
          <w:rFonts w:hint="default"/>
        </w:rPr>
        <w:t>表</w:t>
      </w:r>
      <w:r>
        <w:rPr>
          <w:rFonts w:hint="eastAsia"/>
          <w:lang w:val="en-US" w:eastAsia="zh-CN"/>
        </w:rPr>
        <w:t>4</w:t>
      </w:r>
      <w:r>
        <w:rPr>
          <w:rFonts w:hint="default"/>
        </w:rPr>
        <w:t>-2西村控制单元重点项目清单</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731"/>
        <w:gridCol w:w="1610"/>
        <w:gridCol w:w="5855"/>
        <w:gridCol w:w="1760"/>
        <w:gridCol w:w="1610"/>
        <w:gridCol w:w="1848"/>
      </w:tblGrid>
      <w:tr w14:paraId="595AB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66" w:type="pct"/>
            <w:noWrap w:val="0"/>
            <w:vAlign w:val="center"/>
          </w:tcPr>
          <w:p w14:paraId="1F04AAC8">
            <w:pPr>
              <w:pStyle w:val="17"/>
              <w:bidi w:val="0"/>
              <w:rPr>
                <w:rFonts w:hint="default"/>
              </w:rPr>
            </w:pPr>
            <w:r>
              <w:rPr>
                <w:rFonts w:hint="default"/>
              </w:rPr>
              <w:t>序号</w:t>
            </w:r>
          </w:p>
        </w:tc>
        <w:tc>
          <w:tcPr>
            <w:tcW w:w="258" w:type="pct"/>
            <w:noWrap w:val="0"/>
            <w:vAlign w:val="center"/>
          </w:tcPr>
          <w:p w14:paraId="09BADDBA">
            <w:pPr>
              <w:pStyle w:val="17"/>
              <w:bidi w:val="0"/>
              <w:rPr>
                <w:rFonts w:hint="default"/>
              </w:rPr>
            </w:pPr>
            <w:r>
              <w:rPr>
                <w:rFonts w:hint="default"/>
              </w:rPr>
              <w:t>地点</w:t>
            </w:r>
          </w:p>
        </w:tc>
        <w:tc>
          <w:tcPr>
            <w:tcW w:w="568" w:type="pct"/>
            <w:noWrap w:val="0"/>
            <w:vAlign w:val="center"/>
          </w:tcPr>
          <w:p w14:paraId="0DDC4734">
            <w:pPr>
              <w:pStyle w:val="17"/>
              <w:bidi w:val="0"/>
              <w:rPr>
                <w:rFonts w:hint="default"/>
              </w:rPr>
            </w:pPr>
            <w:r>
              <w:rPr>
                <w:rFonts w:hint="default"/>
              </w:rPr>
              <w:t>项目名称</w:t>
            </w:r>
          </w:p>
        </w:tc>
        <w:tc>
          <w:tcPr>
            <w:tcW w:w="2066" w:type="pct"/>
            <w:noWrap w:val="0"/>
            <w:vAlign w:val="center"/>
          </w:tcPr>
          <w:p w14:paraId="4091416C">
            <w:pPr>
              <w:pStyle w:val="17"/>
              <w:bidi w:val="0"/>
              <w:rPr>
                <w:rFonts w:hint="default"/>
              </w:rPr>
            </w:pPr>
            <w:r>
              <w:rPr>
                <w:rFonts w:hint="default"/>
              </w:rPr>
              <w:t>项目内容</w:t>
            </w:r>
          </w:p>
        </w:tc>
        <w:tc>
          <w:tcPr>
            <w:tcW w:w="619" w:type="pct"/>
            <w:noWrap w:val="0"/>
            <w:vAlign w:val="center"/>
          </w:tcPr>
          <w:p w14:paraId="505E6FA4">
            <w:pPr>
              <w:pStyle w:val="17"/>
              <w:bidi w:val="0"/>
              <w:rPr>
                <w:rFonts w:hint="default"/>
              </w:rPr>
            </w:pPr>
            <w:r>
              <w:rPr>
                <w:rFonts w:hint="default"/>
              </w:rPr>
              <w:t>责任单位</w:t>
            </w:r>
          </w:p>
        </w:tc>
        <w:tc>
          <w:tcPr>
            <w:tcW w:w="568" w:type="pct"/>
            <w:noWrap w:val="0"/>
            <w:vAlign w:val="center"/>
          </w:tcPr>
          <w:p w14:paraId="029F8410">
            <w:pPr>
              <w:pStyle w:val="17"/>
              <w:bidi w:val="0"/>
              <w:rPr>
                <w:rFonts w:hint="default"/>
              </w:rPr>
            </w:pPr>
            <w:r>
              <w:rPr>
                <w:rFonts w:hint="default"/>
              </w:rPr>
              <w:t>总投资金额</w:t>
            </w:r>
          </w:p>
          <w:p w14:paraId="7F4E7F64">
            <w:pPr>
              <w:pStyle w:val="17"/>
              <w:bidi w:val="0"/>
              <w:rPr>
                <w:rFonts w:hint="default"/>
              </w:rPr>
            </w:pPr>
            <w:r>
              <w:rPr>
                <w:rFonts w:hint="default"/>
              </w:rPr>
              <w:t>（万元）</w:t>
            </w:r>
          </w:p>
        </w:tc>
        <w:tc>
          <w:tcPr>
            <w:tcW w:w="652" w:type="pct"/>
            <w:noWrap w:val="0"/>
            <w:vAlign w:val="center"/>
          </w:tcPr>
          <w:p w14:paraId="175F6493">
            <w:pPr>
              <w:pStyle w:val="17"/>
              <w:bidi w:val="0"/>
              <w:rPr>
                <w:rFonts w:hint="default"/>
              </w:rPr>
            </w:pPr>
            <w:r>
              <w:rPr>
                <w:rFonts w:hint="default"/>
              </w:rPr>
              <w:t>实施时限（年）</w:t>
            </w:r>
          </w:p>
        </w:tc>
      </w:tr>
      <w:tr w14:paraId="03B0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 w:type="pct"/>
            <w:noWrap w:val="0"/>
            <w:vAlign w:val="center"/>
          </w:tcPr>
          <w:p w14:paraId="624D6537">
            <w:pPr>
              <w:pStyle w:val="17"/>
              <w:bidi w:val="0"/>
              <w:rPr>
                <w:rFonts w:hint="default"/>
              </w:rPr>
            </w:pPr>
            <w:r>
              <w:rPr>
                <w:rFonts w:hint="default"/>
              </w:rPr>
              <w:t>1</w:t>
            </w:r>
          </w:p>
        </w:tc>
        <w:tc>
          <w:tcPr>
            <w:tcW w:w="258" w:type="pct"/>
            <w:noWrap w:val="0"/>
            <w:vAlign w:val="center"/>
          </w:tcPr>
          <w:p w14:paraId="73E0A573">
            <w:pPr>
              <w:pStyle w:val="17"/>
              <w:bidi w:val="0"/>
              <w:rPr>
                <w:rFonts w:hint="default"/>
              </w:rPr>
            </w:pPr>
            <w:r>
              <w:rPr>
                <w:rFonts w:hint="default"/>
              </w:rPr>
              <w:t>江源区砟子镇</w:t>
            </w:r>
          </w:p>
        </w:tc>
        <w:tc>
          <w:tcPr>
            <w:tcW w:w="568" w:type="pct"/>
            <w:noWrap w:val="0"/>
            <w:vAlign w:val="center"/>
          </w:tcPr>
          <w:p w14:paraId="7D2C33A3">
            <w:pPr>
              <w:pStyle w:val="17"/>
              <w:bidi w:val="0"/>
              <w:rPr>
                <w:rFonts w:hint="default"/>
              </w:rPr>
            </w:pPr>
            <w:r>
              <w:rPr>
                <w:rFonts w:hint="default"/>
              </w:rPr>
              <w:t>白山市江源区砟子镇污水处理站</w:t>
            </w:r>
          </w:p>
        </w:tc>
        <w:tc>
          <w:tcPr>
            <w:tcW w:w="2066" w:type="pct"/>
            <w:noWrap w:val="0"/>
            <w:vAlign w:val="center"/>
          </w:tcPr>
          <w:p w14:paraId="2DFF64A6">
            <w:pPr>
              <w:pStyle w:val="17"/>
              <w:bidi w:val="0"/>
              <w:rPr>
                <w:rFonts w:hint="default"/>
              </w:rPr>
            </w:pPr>
            <w:r>
              <w:rPr>
                <w:rFonts w:hint="default"/>
              </w:rPr>
              <w:t>在白山市江源区砟子镇新建污水处理站1座，污水处理规模约400m</w:t>
            </w:r>
            <w:r>
              <w:rPr>
                <w:rFonts w:hint="default"/>
                <w:vertAlign w:val="superscript"/>
              </w:rPr>
              <w:t>3</w:t>
            </w:r>
            <w:r>
              <w:rPr>
                <w:rFonts w:hint="default"/>
              </w:rPr>
              <w:t>/d,出水水质标准为一级A标准，新建污水管网长度约2.1km。</w:t>
            </w:r>
          </w:p>
        </w:tc>
        <w:tc>
          <w:tcPr>
            <w:tcW w:w="619" w:type="pct"/>
            <w:noWrap w:val="0"/>
            <w:vAlign w:val="center"/>
          </w:tcPr>
          <w:p w14:paraId="3F47D380">
            <w:pPr>
              <w:pStyle w:val="17"/>
              <w:bidi w:val="0"/>
              <w:rPr>
                <w:rFonts w:hint="default"/>
              </w:rPr>
            </w:pPr>
            <w:r>
              <w:rPr>
                <w:rFonts w:hint="default"/>
              </w:rPr>
              <w:t>白山市江源区住房和城乡建设局</w:t>
            </w:r>
          </w:p>
        </w:tc>
        <w:tc>
          <w:tcPr>
            <w:tcW w:w="568" w:type="pct"/>
            <w:noWrap w:val="0"/>
            <w:vAlign w:val="center"/>
          </w:tcPr>
          <w:p w14:paraId="78A3C5E3">
            <w:pPr>
              <w:pStyle w:val="17"/>
              <w:bidi w:val="0"/>
              <w:rPr>
                <w:rFonts w:hint="default"/>
              </w:rPr>
            </w:pPr>
            <w:r>
              <w:rPr>
                <w:rFonts w:hint="default"/>
              </w:rPr>
              <w:t>781</w:t>
            </w:r>
          </w:p>
        </w:tc>
        <w:tc>
          <w:tcPr>
            <w:tcW w:w="652" w:type="pct"/>
            <w:tcBorders>
              <w:left w:val="nil"/>
            </w:tcBorders>
            <w:noWrap w:val="0"/>
            <w:vAlign w:val="center"/>
          </w:tcPr>
          <w:p w14:paraId="0D6CECA0">
            <w:pPr>
              <w:pStyle w:val="17"/>
              <w:bidi w:val="0"/>
              <w:rPr>
                <w:rFonts w:hint="default"/>
              </w:rPr>
            </w:pPr>
            <w:r>
              <w:rPr>
                <w:rFonts w:hint="default"/>
              </w:rPr>
              <w:t>2022-2025</w:t>
            </w:r>
          </w:p>
        </w:tc>
      </w:tr>
      <w:tr w14:paraId="2E619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 w:type="pct"/>
            <w:noWrap w:val="0"/>
            <w:vAlign w:val="center"/>
          </w:tcPr>
          <w:p w14:paraId="558156ED">
            <w:pPr>
              <w:pStyle w:val="17"/>
              <w:bidi w:val="0"/>
              <w:rPr>
                <w:rFonts w:hint="default"/>
              </w:rPr>
            </w:pPr>
            <w:r>
              <w:rPr>
                <w:rFonts w:hint="default"/>
              </w:rPr>
              <w:t>2</w:t>
            </w:r>
          </w:p>
        </w:tc>
        <w:tc>
          <w:tcPr>
            <w:tcW w:w="258" w:type="pct"/>
            <w:noWrap w:val="0"/>
            <w:vAlign w:val="center"/>
          </w:tcPr>
          <w:p w14:paraId="702FA3E8">
            <w:pPr>
              <w:pStyle w:val="17"/>
              <w:bidi w:val="0"/>
              <w:rPr>
                <w:rFonts w:hint="default"/>
              </w:rPr>
            </w:pPr>
            <w:r>
              <w:rPr>
                <w:rFonts w:hint="default"/>
              </w:rPr>
              <w:t>江源区大石人镇</w:t>
            </w:r>
          </w:p>
        </w:tc>
        <w:tc>
          <w:tcPr>
            <w:tcW w:w="568" w:type="pct"/>
            <w:noWrap w:val="0"/>
            <w:vAlign w:val="center"/>
          </w:tcPr>
          <w:p w14:paraId="4620A957">
            <w:pPr>
              <w:pStyle w:val="17"/>
              <w:bidi w:val="0"/>
              <w:rPr>
                <w:rFonts w:hint="default"/>
              </w:rPr>
            </w:pPr>
            <w:r>
              <w:rPr>
                <w:rFonts w:hint="default"/>
              </w:rPr>
              <w:t>白山市江源区大石人镇污水处理站</w:t>
            </w:r>
          </w:p>
        </w:tc>
        <w:tc>
          <w:tcPr>
            <w:tcW w:w="2066" w:type="pct"/>
            <w:noWrap w:val="0"/>
            <w:vAlign w:val="center"/>
          </w:tcPr>
          <w:p w14:paraId="4F0C9D26">
            <w:pPr>
              <w:pStyle w:val="17"/>
              <w:bidi w:val="0"/>
              <w:rPr>
                <w:rFonts w:hint="default"/>
              </w:rPr>
            </w:pPr>
            <w:r>
              <w:rPr>
                <w:rFonts w:hint="default"/>
              </w:rPr>
              <w:t>在白山市江源区大石人镇新建污水处理站1座，污水处理规模约200m</w:t>
            </w:r>
            <w:r>
              <w:rPr>
                <w:rFonts w:hint="default"/>
                <w:vertAlign w:val="superscript"/>
              </w:rPr>
              <w:t>3</w:t>
            </w:r>
            <w:r>
              <w:rPr>
                <w:rFonts w:hint="default"/>
              </w:rPr>
              <w:t>/d，出水水质标准为一级A标准，新建污水管网长度约1.4km。</w:t>
            </w:r>
          </w:p>
        </w:tc>
        <w:tc>
          <w:tcPr>
            <w:tcW w:w="619" w:type="pct"/>
            <w:noWrap w:val="0"/>
            <w:vAlign w:val="center"/>
          </w:tcPr>
          <w:p w14:paraId="759F042F">
            <w:pPr>
              <w:pStyle w:val="17"/>
              <w:bidi w:val="0"/>
              <w:rPr>
                <w:rFonts w:hint="default"/>
              </w:rPr>
            </w:pPr>
            <w:r>
              <w:rPr>
                <w:rFonts w:hint="default"/>
              </w:rPr>
              <w:t>白山市江源区住房和城乡建设局</w:t>
            </w:r>
          </w:p>
        </w:tc>
        <w:tc>
          <w:tcPr>
            <w:tcW w:w="568" w:type="pct"/>
            <w:noWrap w:val="0"/>
            <w:vAlign w:val="center"/>
          </w:tcPr>
          <w:p w14:paraId="0DB29D0B">
            <w:pPr>
              <w:pStyle w:val="17"/>
              <w:bidi w:val="0"/>
              <w:rPr>
                <w:rFonts w:hint="default"/>
              </w:rPr>
            </w:pPr>
            <w:r>
              <w:rPr>
                <w:rFonts w:hint="default"/>
              </w:rPr>
              <w:t>545</w:t>
            </w:r>
          </w:p>
        </w:tc>
        <w:tc>
          <w:tcPr>
            <w:tcW w:w="652" w:type="pct"/>
            <w:tcBorders>
              <w:left w:val="nil"/>
            </w:tcBorders>
            <w:noWrap w:val="0"/>
            <w:vAlign w:val="center"/>
          </w:tcPr>
          <w:p w14:paraId="111B806B">
            <w:pPr>
              <w:pStyle w:val="17"/>
              <w:bidi w:val="0"/>
              <w:rPr>
                <w:rFonts w:hint="default"/>
              </w:rPr>
            </w:pPr>
            <w:r>
              <w:rPr>
                <w:rFonts w:hint="default"/>
              </w:rPr>
              <w:t>2022-2025</w:t>
            </w:r>
          </w:p>
        </w:tc>
      </w:tr>
      <w:tr w14:paraId="071D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 w:type="pct"/>
            <w:noWrap w:val="0"/>
            <w:vAlign w:val="center"/>
          </w:tcPr>
          <w:p w14:paraId="3FA8BB63">
            <w:pPr>
              <w:pStyle w:val="17"/>
              <w:bidi w:val="0"/>
              <w:rPr>
                <w:rFonts w:hint="default"/>
              </w:rPr>
            </w:pPr>
            <w:r>
              <w:rPr>
                <w:rFonts w:hint="default"/>
              </w:rPr>
              <w:t>3</w:t>
            </w:r>
          </w:p>
        </w:tc>
        <w:tc>
          <w:tcPr>
            <w:tcW w:w="258" w:type="pct"/>
            <w:noWrap w:val="0"/>
            <w:vAlign w:val="center"/>
          </w:tcPr>
          <w:p w14:paraId="28DF31D7">
            <w:pPr>
              <w:pStyle w:val="17"/>
              <w:bidi w:val="0"/>
              <w:rPr>
                <w:rFonts w:hint="default"/>
              </w:rPr>
            </w:pPr>
            <w:r>
              <w:rPr>
                <w:rFonts w:hint="default"/>
              </w:rPr>
              <w:t>江源区石人镇</w:t>
            </w:r>
          </w:p>
        </w:tc>
        <w:tc>
          <w:tcPr>
            <w:tcW w:w="568" w:type="pct"/>
            <w:noWrap w:val="0"/>
            <w:vAlign w:val="center"/>
          </w:tcPr>
          <w:p w14:paraId="7C491C19">
            <w:pPr>
              <w:pStyle w:val="17"/>
              <w:bidi w:val="0"/>
              <w:rPr>
                <w:rFonts w:hint="default"/>
              </w:rPr>
            </w:pPr>
            <w:r>
              <w:rPr>
                <w:rFonts w:hint="default"/>
              </w:rPr>
              <w:t>白山市江源区石人镇污水处理站</w:t>
            </w:r>
          </w:p>
        </w:tc>
        <w:tc>
          <w:tcPr>
            <w:tcW w:w="2066" w:type="pct"/>
            <w:noWrap w:val="0"/>
            <w:vAlign w:val="center"/>
          </w:tcPr>
          <w:p w14:paraId="3BE80F6D">
            <w:pPr>
              <w:pStyle w:val="17"/>
              <w:bidi w:val="0"/>
              <w:rPr>
                <w:rFonts w:hint="default"/>
              </w:rPr>
            </w:pPr>
            <w:r>
              <w:rPr>
                <w:rFonts w:hint="default"/>
              </w:rPr>
              <w:t>在白山市江源区石人镇新建污水处理站1座，污水处理规模约5000m</w:t>
            </w:r>
            <w:r>
              <w:rPr>
                <w:rFonts w:hint="default"/>
                <w:vertAlign w:val="superscript"/>
              </w:rPr>
              <w:t>3</w:t>
            </w:r>
            <w:r>
              <w:rPr>
                <w:rFonts w:hint="default"/>
              </w:rPr>
              <w:t>/d，出水水质标准为一级A标准，新建污水管网长度约10km。</w:t>
            </w:r>
          </w:p>
        </w:tc>
        <w:tc>
          <w:tcPr>
            <w:tcW w:w="619" w:type="pct"/>
            <w:noWrap w:val="0"/>
            <w:vAlign w:val="center"/>
          </w:tcPr>
          <w:p w14:paraId="56AB9FC6">
            <w:pPr>
              <w:pStyle w:val="17"/>
              <w:bidi w:val="0"/>
              <w:rPr>
                <w:rFonts w:hint="default"/>
              </w:rPr>
            </w:pPr>
            <w:r>
              <w:rPr>
                <w:rFonts w:hint="default"/>
              </w:rPr>
              <w:t>白山市江源区住房和城乡建设局</w:t>
            </w:r>
          </w:p>
        </w:tc>
        <w:tc>
          <w:tcPr>
            <w:tcW w:w="568" w:type="pct"/>
            <w:noWrap w:val="0"/>
            <w:vAlign w:val="center"/>
          </w:tcPr>
          <w:p w14:paraId="32EE1F9B">
            <w:pPr>
              <w:pStyle w:val="17"/>
              <w:bidi w:val="0"/>
              <w:rPr>
                <w:rFonts w:hint="default"/>
              </w:rPr>
            </w:pPr>
            <w:r>
              <w:rPr>
                <w:rFonts w:hint="default"/>
              </w:rPr>
              <w:t>7925</w:t>
            </w:r>
          </w:p>
        </w:tc>
        <w:tc>
          <w:tcPr>
            <w:tcW w:w="652" w:type="pct"/>
            <w:tcBorders>
              <w:left w:val="nil"/>
            </w:tcBorders>
            <w:noWrap w:val="0"/>
            <w:vAlign w:val="center"/>
          </w:tcPr>
          <w:p w14:paraId="52B6E0A3">
            <w:pPr>
              <w:pStyle w:val="17"/>
              <w:bidi w:val="0"/>
              <w:rPr>
                <w:rFonts w:hint="default"/>
              </w:rPr>
            </w:pPr>
            <w:r>
              <w:rPr>
                <w:rFonts w:hint="default"/>
              </w:rPr>
              <w:t>2022-2025</w:t>
            </w:r>
          </w:p>
        </w:tc>
      </w:tr>
      <w:tr w14:paraId="3AA53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 w:type="pct"/>
            <w:noWrap w:val="0"/>
            <w:vAlign w:val="center"/>
          </w:tcPr>
          <w:p w14:paraId="05619A1B">
            <w:pPr>
              <w:pStyle w:val="17"/>
              <w:bidi w:val="0"/>
              <w:rPr>
                <w:rFonts w:hint="default"/>
              </w:rPr>
            </w:pPr>
            <w:r>
              <w:rPr>
                <w:rFonts w:hint="default"/>
              </w:rPr>
              <w:t>4</w:t>
            </w:r>
          </w:p>
        </w:tc>
        <w:tc>
          <w:tcPr>
            <w:tcW w:w="258" w:type="pct"/>
            <w:noWrap w:val="0"/>
            <w:vAlign w:val="center"/>
          </w:tcPr>
          <w:p w14:paraId="5808BDD9">
            <w:pPr>
              <w:pStyle w:val="17"/>
              <w:bidi w:val="0"/>
              <w:rPr>
                <w:rFonts w:hint="default"/>
              </w:rPr>
            </w:pPr>
            <w:r>
              <w:rPr>
                <w:rFonts w:hint="default"/>
              </w:rPr>
              <w:t>浑江流域江源区段</w:t>
            </w:r>
          </w:p>
        </w:tc>
        <w:tc>
          <w:tcPr>
            <w:tcW w:w="568" w:type="pct"/>
            <w:noWrap w:val="0"/>
            <w:vAlign w:val="center"/>
          </w:tcPr>
          <w:p w14:paraId="681841FE">
            <w:pPr>
              <w:pStyle w:val="17"/>
              <w:bidi w:val="0"/>
              <w:rPr>
                <w:rFonts w:hint="default"/>
              </w:rPr>
            </w:pPr>
            <w:r>
              <w:rPr>
                <w:rFonts w:hint="default"/>
              </w:rPr>
              <w:t>建制村污水治理项目</w:t>
            </w:r>
          </w:p>
        </w:tc>
        <w:tc>
          <w:tcPr>
            <w:tcW w:w="2066" w:type="pct"/>
            <w:noWrap w:val="0"/>
            <w:vAlign w:val="center"/>
          </w:tcPr>
          <w:p w14:paraId="2CF8BBD8">
            <w:pPr>
              <w:pStyle w:val="17"/>
              <w:bidi w:val="0"/>
              <w:rPr>
                <w:rFonts w:hint="default"/>
              </w:rPr>
            </w:pPr>
            <w:r>
              <w:rPr>
                <w:rFonts w:hint="default"/>
              </w:rPr>
              <w:t>大石人镇、石人镇、砟子镇、江源街道所辖14个建制村污水处理设施及管网建设</w:t>
            </w:r>
          </w:p>
        </w:tc>
        <w:tc>
          <w:tcPr>
            <w:tcW w:w="619" w:type="pct"/>
            <w:noWrap w:val="0"/>
            <w:vAlign w:val="center"/>
          </w:tcPr>
          <w:p w14:paraId="23E47C8C">
            <w:pPr>
              <w:pStyle w:val="17"/>
              <w:bidi w:val="0"/>
              <w:rPr>
                <w:rFonts w:hint="default"/>
              </w:rPr>
            </w:pPr>
            <w:r>
              <w:rPr>
                <w:rFonts w:hint="default"/>
              </w:rPr>
              <w:t>江源区人民政府</w:t>
            </w:r>
          </w:p>
        </w:tc>
        <w:tc>
          <w:tcPr>
            <w:tcW w:w="568" w:type="pct"/>
            <w:noWrap w:val="0"/>
            <w:vAlign w:val="center"/>
          </w:tcPr>
          <w:p w14:paraId="5693E97E">
            <w:pPr>
              <w:pStyle w:val="17"/>
              <w:bidi w:val="0"/>
              <w:rPr>
                <w:rFonts w:hint="default"/>
              </w:rPr>
            </w:pPr>
            <w:r>
              <w:rPr>
                <w:rFonts w:hint="default"/>
              </w:rPr>
              <w:t>3380</w:t>
            </w:r>
          </w:p>
        </w:tc>
        <w:tc>
          <w:tcPr>
            <w:tcW w:w="652" w:type="pct"/>
            <w:tcBorders>
              <w:left w:val="nil"/>
            </w:tcBorders>
            <w:noWrap w:val="0"/>
            <w:vAlign w:val="center"/>
          </w:tcPr>
          <w:p w14:paraId="49019287">
            <w:pPr>
              <w:pStyle w:val="17"/>
              <w:bidi w:val="0"/>
              <w:rPr>
                <w:rFonts w:hint="default"/>
              </w:rPr>
            </w:pPr>
            <w:r>
              <w:rPr>
                <w:rFonts w:hint="default"/>
              </w:rPr>
              <w:t>2021-2025</w:t>
            </w:r>
          </w:p>
        </w:tc>
      </w:tr>
      <w:tr w14:paraId="40000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 w:type="pct"/>
            <w:noWrap w:val="0"/>
            <w:vAlign w:val="center"/>
          </w:tcPr>
          <w:p w14:paraId="56DD49E5">
            <w:pPr>
              <w:pStyle w:val="17"/>
              <w:bidi w:val="0"/>
              <w:rPr>
                <w:rFonts w:hint="default"/>
              </w:rPr>
            </w:pPr>
            <w:r>
              <w:rPr>
                <w:rFonts w:hint="default"/>
              </w:rPr>
              <w:t>5</w:t>
            </w:r>
          </w:p>
        </w:tc>
        <w:tc>
          <w:tcPr>
            <w:tcW w:w="258" w:type="pct"/>
            <w:noWrap w:val="0"/>
            <w:vAlign w:val="center"/>
          </w:tcPr>
          <w:p w14:paraId="60FD2904">
            <w:pPr>
              <w:pStyle w:val="17"/>
              <w:bidi w:val="0"/>
              <w:rPr>
                <w:rFonts w:hint="default"/>
              </w:rPr>
            </w:pPr>
            <w:r>
              <w:rPr>
                <w:rFonts w:hint="default"/>
              </w:rPr>
              <w:t>江源区</w:t>
            </w:r>
          </w:p>
        </w:tc>
        <w:tc>
          <w:tcPr>
            <w:tcW w:w="568" w:type="pct"/>
            <w:noWrap w:val="0"/>
            <w:vAlign w:val="center"/>
          </w:tcPr>
          <w:p w14:paraId="30A1359A">
            <w:pPr>
              <w:pStyle w:val="17"/>
              <w:bidi w:val="0"/>
              <w:rPr>
                <w:rFonts w:hint="default"/>
              </w:rPr>
            </w:pPr>
            <w:r>
              <w:rPr>
                <w:rFonts w:hint="default"/>
              </w:rPr>
              <w:t>江源区尾矿库安全生产风险预警预案</w:t>
            </w:r>
          </w:p>
        </w:tc>
        <w:tc>
          <w:tcPr>
            <w:tcW w:w="2066" w:type="pct"/>
            <w:noWrap w:val="0"/>
            <w:vAlign w:val="center"/>
          </w:tcPr>
          <w:p w14:paraId="5384EE7A">
            <w:pPr>
              <w:pStyle w:val="17"/>
              <w:bidi w:val="0"/>
              <w:rPr>
                <w:rFonts w:hint="default"/>
              </w:rPr>
            </w:pPr>
            <w:r>
              <w:rPr>
                <w:rFonts w:hint="default"/>
              </w:rPr>
              <w:t>对江源区所有尾矿库进行归档备案，建立三级防控体系，编制浑江区尾矿库安全生产风险预警预案，并按要求定期开展尾矿库环境应急演练。</w:t>
            </w:r>
          </w:p>
        </w:tc>
        <w:tc>
          <w:tcPr>
            <w:tcW w:w="619" w:type="pct"/>
            <w:noWrap w:val="0"/>
            <w:vAlign w:val="center"/>
          </w:tcPr>
          <w:p w14:paraId="2B317FCC">
            <w:pPr>
              <w:pStyle w:val="17"/>
              <w:bidi w:val="0"/>
              <w:rPr>
                <w:rFonts w:hint="default"/>
              </w:rPr>
            </w:pPr>
            <w:r>
              <w:rPr>
                <w:rFonts w:hint="default"/>
              </w:rPr>
              <w:t>江源区人民政府</w:t>
            </w:r>
          </w:p>
        </w:tc>
        <w:tc>
          <w:tcPr>
            <w:tcW w:w="568" w:type="pct"/>
            <w:noWrap w:val="0"/>
            <w:vAlign w:val="center"/>
          </w:tcPr>
          <w:p w14:paraId="37DA419E">
            <w:pPr>
              <w:pStyle w:val="17"/>
              <w:bidi w:val="0"/>
              <w:rPr>
                <w:rFonts w:hint="default"/>
              </w:rPr>
            </w:pPr>
            <w:r>
              <w:rPr>
                <w:rFonts w:hint="default"/>
              </w:rPr>
              <w:t>20</w:t>
            </w:r>
          </w:p>
        </w:tc>
        <w:tc>
          <w:tcPr>
            <w:tcW w:w="652" w:type="pct"/>
            <w:tcBorders>
              <w:left w:val="nil"/>
            </w:tcBorders>
            <w:noWrap w:val="0"/>
            <w:vAlign w:val="center"/>
          </w:tcPr>
          <w:p w14:paraId="7BB9523E">
            <w:pPr>
              <w:pStyle w:val="17"/>
              <w:bidi w:val="0"/>
              <w:rPr>
                <w:rFonts w:hint="default"/>
              </w:rPr>
            </w:pPr>
            <w:r>
              <w:rPr>
                <w:rFonts w:hint="default"/>
              </w:rPr>
              <w:t>2020-2021</w:t>
            </w:r>
          </w:p>
        </w:tc>
      </w:tr>
      <w:tr w14:paraId="2FED2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 w:type="pct"/>
            <w:noWrap w:val="0"/>
            <w:vAlign w:val="center"/>
          </w:tcPr>
          <w:p w14:paraId="7F84D845">
            <w:pPr>
              <w:pStyle w:val="17"/>
              <w:bidi w:val="0"/>
              <w:rPr>
                <w:rFonts w:hint="default"/>
              </w:rPr>
            </w:pPr>
            <w:r>
              <w:rPr>
                <w:rFonts w:hint="default"/>
              </w:rPr>
              <w:t>6</w:t>
            </w:r>
          </w:p>
        </w:tc>
        <w:tc>
          <w:tcPr>
            <w:tcW w:w="258" w:type="pct"/>
            <w:noWrap w:val="0"/>
            <w:vAlign w:val="center"/>
          </w:tcPr>
          <w:p w14:paraId="3D1D5961">
            <w:pPr>
              <w:pStyle w:val="17"/>
              <w:bidi w:val="0"/>
              <w:rPr>
                <w:rFonts w:hint="default"/>
              </w:rPr>
            </w:pPr>
            <w:r>
              <w:rPr>
                <w:rFonts w:hint="default"/>
              </w:rPr>
              <w:t>江源区浑江流域</w:t>
            </w:r>
          </w:p>
        </w:tc>
        <w:tc>
          <w:tcPr>
            <w:tcW w:w="568" w:type="pct"/>
            <w:noWrap w:val="0"/>
            <w:vAlign w:val="center"/>
          </w:tcPr>
          <w:p w14:paraId="0AAB565D">
            <w:pPr>
              <w:pStyle w:val="17"/>
              <w:bidi w:val="0"/>
              <w:rPr>
                <w:rFonts w:hint="default"/>
              </w:rPr>
            </w:pPr>
            <w:r>
              <w:rPr>
                <w:rFonts w:hint="default"/>
              </w:rPr>
              <w:t>农业农村污染防治（种植结构调整工程）</w:t>
            </w:r>
          </w:p>
        </w:tc>
        <w:tc>
          <w:tcPr>
            <w:tcW w:w="2066" w:type="pct"/>
            <w:noWrap w:val="0"/>
            <w:vAlign w:val="center"/>
          </w:tcPr>
          <w:p w14:paraId="18F40440">
            <w:pPr>
              <w:pStyle w:val="17"/>
              <w:bidi w:val="0"/>
              <w:rPr>
                <w:rFonts w:hint="default"/>
              </w:rPr>
            </w:pPr>
            <w:r>
              <w:rPr>
                <w:rFonts w:hint="default"/>
              </w:rPr>
              <w:t>开展“退粮进特”、“退耕还林”、“休耕轮作”等一系列种植结构调整行动，调减籽粒玉米种植，新增特色种植</w:t>
            </w:r>
          </w:p>
        </w:tc>
        <w:tc>
          <w:tcPr>
            <w:tcW w:w="619" w:type="pct"/>
            <w:noWrap w:val="0"/>
            <w:vAlign w:val="center"/>
          </w:tcPr>
          <w:p w14:paraId="0B57587C">
            <w:pPr>
              <w:pStyle w:val="17"/>
              <w:bidi w:val="0"/>
              <w:rPr>
                <w:rFonts w:hint="default"/>
              </w:rPr>
            </w:pPr>
            <w:r>
              <w:rPr>
                <w:rFonts w:hint="default"/>
              </w:rPr>
              <w:t>江源区人民政府</w:t>
            </w:r>
          </w:p>
        </w:tc>
        <w:tc>
          <w:tcPr>
            <w:tcW w:w="568" w:type="pct"/>
            <w:noWrap w:val="0"/>
            <w:vAlign w:val="center"/>
          </w:tcPr>
          <w:p w14:paraId="6E31840A">
            <w:pPr>
              <w:pStyle w:val="17"/>
              <w:bidi w:val="0"/>
              <w:rPr>
                <w:rFonts w:hint="default"/>
              </w:rPr>
            </w:pPr>
            <w:r>
              <w:rPr>
                <w:rFonts w:hint="default"/>
              </w:rPr>
              <w:t>400</w:t>
            </w:r>
          </w:p>
        </w:tc>
        <w:tc>
          <w:tcPr>
            <w:tcW w:w="652" w:type="pct"/>
            <w:tcBorders>
              <w:left w:val="nil"/>
            </w:tcBorders>
            <w:noWrap w:val="0"/>
            <w:vAlign w:val="center"/>
          </w:tcPr>
          <w:p w14:paraId="24920428">
            <w:pPr>
              <w:pStyle w:val="17"/>
              <w:bidi w:val="0"/>
              <w:rPr>
                <w:rFonts w:hint="default"/>
              </w:rPr>
            </w:pPr>
            <w:r>
              <w:rPr>
                <w:rFonts w:hint="default"/>
              </w:rPr>
              <w:t>2020-2025</w:t>
            </w:r>
          </w:p>
        </w:tc>
      </w:tr>
      <w:tr w14:paraId="743F2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 w:type="pct"/>
            <w:noWrap w:val="0"/>
            <w:vAlign w:val="center"/>
          </w:tcPr>
          <w:p w14:paraId="70DDFD62">
            <w:pPr>
              <w:pStyle w:val="17"/>
              <w:bidi w:val="0"/>
              <w:rPr>
                <w:rFonts w:hint="default"/>
              </w:rPr>
            </w:pPr>
            <w:r>
              <w:rPr>
                <w:rFonts w:hint="default"/>
              </w:rPr>
              <w:t>7</w:t>
            </w:r>
          </w:p>
        </w:tc>
        <w:tc>
          <w:tcPr>
            <w:tcW w:w="258" w:type="pct"/>
            <w:noWrap w:val="0"/>
            <w:vAlign w:val="center"/>
          </w:tcPr>
          <w:p w14:paraId="3AD69CE9">
            <w:pPr>
              <w:pStyle w:val="17"/>
              <w:bidi w:val="0"/>
              <w:rPr>
                <w:rFonts w:hint="default"/>
              </w:rPr>
            </w:pPr>
            <w:r>
              <w:rPr>
                <w:rFonts w:hint="default"/>
              </w:rPr>
              <w:t>江源区浑江流域</w:t>
            </w:r>
          </w:p>
        </w:tc>
        <w:tc>
          <w:tcPr>
            <w:tcW w:w="568" w:type="pct"/>
            <w:noWrap w:val="0"/>
            <w:vAlign w:val="center"/>
          </w:tcPr>
          <w:p w14:paraId="6C272499">
            <w:pPr>
              <w:pStyle w:val="17"/>
              <w:bidi w:val="0"/>
              <w:rPr>
                <w:rFonts w:hint="default"/>
              </w:rPr>
            </w:pPr>
            <w:r>
              <w:rPr>
                <w:rFonts w:hint="default"/>
              </w:rPr>
              <w:t>农业农村污染防治（测土施肥工程）</w:t>
            </w:r>
          </w:p>
        </w:tc>
        <w:tc>
          <w:tcPr>
            <w:tcW w:w="2066" w:type="pct"/>
            <w:noWrap w:val="0"/>
            <w:vAlign w:val="center"/>
          </w:tcPr>
          <w:p w14:paraId="6A1988F4">
            <w:pPr>
              <w:pStyle w:val="17"/>
              <w:bidi w:val="0"/>
              <w:rPr>
                <w:rFonts w:hint="default"/>
              </w:rPr>
            </w:pPr>
            <w:r>
              <w:rPr>
                <w:rFonts w:hint="default"/>
              </w:rPr>
              <w:t>运用微谱化学成分分析手段对耕地地块的肥力、酸碱性、微生物等情况进行定性或定量分析，总结出耕地适宜种植的农作物品种，并对所种植的农作物所需的肥料种类及用量进行微谱配方分析、并做含量勾兑，有提高土地利用效率</w:t>
            </w:r>
          </w:p>
        </w:tc>
        <w:tc>
          <w:tcPr>
            <w:tcW w:w="619" w:type="pct"/>
            <w:noWrap w:val="0"/>
            <w:vAlign w:val="center"/>
          </w:tcPr>
          <w:p w14:paraId="0475EAE8">
            <w:pPr>
              <w:pStyle w:val="17"/>
              <w:bidi w:val="0"/>
              <w:rPr>
                <w:rFonts w:hint="default"/>
              </w:rPr>
            </w:pPr>
            <w:r>
              <w:rPr>
                <w:rFonts w:hint="default"/>
              </w:rPr>
              <w:t>江源区人民政府</w:t>
            </w:r>
          </w:p>
        </w:tc>
        <w:tc>
          <w:tcPr>
            <w:tcW w:w="568" w:type="pct"/>
            <w:noWrap w:val="0"/>
            <w:vAlign w:val="center"/>
          </w:tcPr>
          <w:p w14:paraId="50863ED4">
            <w:pPr>
              <w:pStyle w:val="17"/>
              <w:bidi w:val="0"/>
              <w:rPr>
                <w:rFonts w:hint="default"/>
              </w:rPr>
            </w:pPr>
            <w:r>
              <w:rPr>
                <w:rFonts w:hint="default"/>
              </w:rPr>
              <w:t>170</w:t>
            </w:r>
          </w:p>
        </w:tc>
        <w:tc>
          <w:tcPr>
            <w:tcW w:w="652" w:type="pct"/>
            <w:tcBorders>
              <w:left w:val="nil"/>
            </w:tcBorders>
            <w:noWrap w:val="0"/>
            <w:vAlign w:val="center"/>
          </w:tcPr>
          <w:p w14:paraId="4E8230A7">
            <w:pPr>
              <w:pStyle w:val="17"/>
              <w:bidi w:val="0"/>
              <w:rPr>
                <w:rFonts w:hint="default"/>
              </w:rPr>
            </w:pPr>
            <w:r>
              <w:rPr>
                <w:rFonts w:hint="default"/>
              </w:rPr>
              <w:t>2020-2025</w:t>
            </w:r>
          </w:p>
        </w:tc>
      </w:tr>
      <w:tr w14:paraId="6BD41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 w:type="pct"/>
            <w:noWrap w:val="0"/>
            <w:vAlign w:val="center"/>
          </w:tcPr>
          <w:p w14:paraId="75E9E5DF">
            <w:pPr>
              <w:pStyle w:val="17"/>
              <w:bidi w:val="0"/>
              <w:rPr>
                <w:rFonts w:hint="default"/>
              </w:rPr>
            </w:pPr>
            <w:r>
              <w:rPr>
                <w:rFonts w:hint="default"/>
              </w:rPr>
              <w:t>8</w:t>
            </w:r>
          </w:p>
        </w:tc>
        <w:tc>
          <w:tcPr>
            <w:tcW w:w="258" w:type="pct"/>
            <w:noWrap w:val="0"/>
            <w:vAlign w:val="center"/>
          </w:tcPr>
          <w:p w14:paraId="56B4AC0C">
            <w:pPr>
              <w:pStyle w:val="17"/>
              <w:bidi w:val="0"/>
              <w:rPr>
                <w:rFonts w:hint="default"/>
              </w:rPr>
            </w:pPr>
            <w:r>
              <w:rPr>
                <w:rFonts w:hint="default"/>
              </w:rPr>
              <w:t>江源区浑江流域</w:t>
            </w:r>
          </w:p>
        </w:tc>
        <w:tc>
          <w:tcPr>
            <w:tcW w:w="568" w:type="pct"/>
            <w:noWrap w:val="0"/>
            <w:vAlign w:val="center"/>
          </w:tcPr>
          <w:p w14:paraId="53C36B3D">
            <w:pPr>
              <w:pStyle w:val="17"/>
              <w:bidi w:val="0"/>
              <w:rPr>
                <w:rFonts w:hint="default"/>
              </w:rPr>
            </w:pPr>
            <w:r>
              <w:rPr>
                <w:rFonts w:hint="default"/>
              </w:rPr>
              <w:t>农业农村污染防治（有机肥推广项目）</w:t>
            </w:r>
          </w:p>
        </w:tc>
        <w:tc>
          <w:tcPr>
            <w:tcW w:w="2066" w:type="pct"/>
            <w:noWrap w:val="0"/>
            <w:vAlign w:val="center"/>
          </w:tcPr>
          <w:p w14:paraId="3A8D5788">
            <w:pPr>
              <w:pStyle w:val="17"/>
              <w:bidi w:val="0"/>
              <w:rPr>
                <w:rFonts w:hint="default"/>
              </w:rPr>
            </w:pPr>
            <w:r>
              <w:rPr>
                <w:rFonts w:hint="default"/>
              </w:rPr>
              <w:t>通过有机废弃物堆肥还田、果园生草、设施菜地秸秆生物反应堆和商品有机肥等模式，采取有机肥替代化肥</w:t>
            </w:r>
          </w:p>
        </w:tc>
        <w:tc>
          <w:tcPr>
            <w:tcW w:w="619" w:type="pct"/>
            <w:noWrap w:val="0"/>
            <w:vAlign w:val="center"/>
          </w:tcPr>
          <w:p w14:paraId="5EDDEDC8">
            <w:pPr>
              <w:pStyle w:val="17"/>
              <w:bidi w:val="0"/>
              <w:rPr>
                <w:rFonts w:hint="default"/>
              </w:rPr>
            </w:pPr>
            <w:r>
              <w:rPr>
                <w:rFonts w:hint="default"/>
              </w:rPr>
              <w:t>江源区人民政府</w:t>
            </w:r>
          </w:p>
        </w:tc>
        <w:tc>
          <w:tcPr>
            <w:tcW w:w="568" w:type="pct"/>
            <w:noWrap w:val="0"/>
            <w:vAlign w:val="center"/>
          </w:tcPr>
          <w:p w14:paraId="73B0D9AD">
            <w:pPr>
              <w:pStyle w:val="17"/>
              <w:bidi w:val="0"/>
              <w:rPr>
                <w:rFonts w:hint="default"/>
              </w:rPr>
            </w:pPr>
            <w:r>
              <w:rPr>
                <w:rFonts w:hint="default"/>
              </w:rPr>
              <w:t>600</w:t>
            </w:r>
          </w:p>
        </w:tc>
        <w:tc>
          <w:tcPr>
            <w:tcW w:w="652" w:type="pct"/>
            <w:tcBorders>
              <w:left w:val="nil"/>
            </w:tcBorders>
            <w:noWrap w:val="0"/>
            <w:vAlign w:val="center"/>
          </w:tcPr>
          <w:p w14:paraId="49405B06">
            <w:pPr>
              <w:pStyle w:val="17"/>
              <w:bidi w:val="0"/>
              <w:rPr>
                <w:rFonts w:hint="default"/>
              </w:rPr>
            </w:pPr>
            <w:r>
              <w:rPr>
                <w:rFonts w:hint="default"/>
              </w:rPr>
              <w:t>2020-2025</w:t>
            </w:r>
          </w:p>
        </w:tc>
      </w:tr>
      <w:tr w14:paraId="2CDE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 w:type="pct"/>
            <w:noWrap w:val="0"/>
            <w:vAlign w:val="center"/>
          </w:tcPr>
          <w:p w14:paraId="7C847414">
            <w:pPr>
              <w:pStyle w:val="17"/>
              <w:bidi w:val="0"/>
              <w:rPr>
                <w:rFonts w:hint="default"/>
              </w:rPr>
            </w:pPr>
            <w:r>
              <w:rPr>
                <w:rFonts w:hint="default"/>
              </w:rPr>
              <w:t>9</w:t>
            </w:r>
          </w:p>
        </w:tc>
        <w:tc>
          <w:tcPr>
            <w:tcW w:w="258" w:type="pct"/>
            <w:noWrap w:val="0"/>
            <w:vAlign w:val="center"/>
          </w:tcPr>
          <w:p w14:paraId="665DF426">
            <w:pPr>
              <w:pStyle w:val="17"/>
              <w:bidi w:val="0"/>
              <w:rPr>
                <w:rFonts w:hint="default"/>
              </w:rPr>
            </w:pPr>
            <w:r>
              <w:rPr>
                <w:rFonts w:hint="default"/>
              </w:rPr>
              <w:t>八宝矿区</w:t>
            </w:r>
          </w:p>
        </w:tc>
        <w:tc>
          <w:tcPr>
            <w:tcW w:w="568" w:type="pct"/>
            <w:noWrap w:val="0"/>
            <w:vAlign w:val="center"/>
          </w:tcPr>
          <w:p w14:paraId="64C50AC7">
            <w:pPr>
              <w:pStyle w:val="17"/>
              <w:bidi w:val="0"/>
              <w:rPr>
                <w:rFonts w:hint="default"/>
              </w:rPr>
            </w:pPr>
            <w:r>
              <w:rPr>
                <w:rFonts w:hint="default"/>
              </w:rPr>
              <w:t>八宝矿区矿山环境综合整治项目（山水林田湖草二期项目）</w:t>
            </w:r>
          </w:p>
        </w:tc>
        <w:tc>
          <w:tcPr>
            <w:tcW w:w="2066" w:type="pct"/>
            <w:noWrap w:val="0"/>
            <w:vAlign w:val="center"/>
          </w:tcPr>
          <w:p w14:paraId="5FE96400">
            <w:pPr>
              <w:pStyle w:val="17"/>
              <w:bidi w:val="0"/>
              <w:rPr>
                <w:rFonts w:hint="default"/>
              </w:rPr>
            </w:pPr>
            <w:r>
              <w:rPr>
                <w:rFonts w:hint="default"/>
              </w:rPr>
              <w:t>主要建设内容为：废弃建筑物及废弃居民区清理、土地复垦。废弃建筑物及废弃居民区清理面积约41.01公顷，客土20.51万立方米。</w:t>
            </w:r>
          </w:p>
        </w:tc>
        <w:tc>
          <w:tcPr>
            <w:tcW w:w="619" w:type="pct"/>
            <w:noWrap w:val="0"/>
            <w:vAlign w:val="center"/>
          </w:tcPr>
          <w:p w14:paraId="135A525C">
            <w:pPr>
              <w:pStyle w:val="17"/>
              <w:bidi w:val="0"/>
              <w:rPr>
                <w:rFonts w:hint="default"/>
              </w:rPr>
            </w:pPr>
            <w:r>
              <w:rPr>
                <w:rFonts w:hint="default"/>
              </w:rPr>
              <w:t>江源区人民政府</w:t>
            </w:r>
          </w:p>
        </w:tc>
        <w:tc>
          <w:tcPr>
            <w:tcW w:w="568" w:type="pct"/>
            <w:noWrap w:val="0"/>
            <w:vAlign w:val="center"/>
          </w:tcPr>
          <w:p w14:paraId="2AD838FB">
            <w:pPr>
              <w:pStyle w:val="17"/>
              <w:bidi w:val="0"/>
              <w:rPr>
                <w:rFonts w:hint="default"/>
              </w:rPr>
            </w:pPr>
          </w:p>
        </w:tc>
        <w:tc>
          <w:tcPr>
            <w:tcW w:w="652" w:type="pct"/>
            <w:tcBorders>
              <w:left w:val="nil"/>
            </w:tcBorders>
            <w:noWrap w:val="0"/>
            <w:vAlign w:val="center"/>
          </w:tcPr>
          <w:p w14:paraId="0E4EC400">
            <w:pPr>
              <w:pStyle w:val="17"/>
              <w:bidi w:val="0"/>
              <w:rPr>
                <w:rFonts w:hint="default"/>
              </w:rPr>
            </w:pPr>
            <w:r>
              <w:rPr>
                <w:rFonts w:hint="default"/>
              </w:rPr>
              <w:t>202-2025</w:t>
            </w:r>
          </w:p>
        </w:tc>
      </w:tr>
      <w:tr w14:paraId="0EA11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79" w:type="pct"/>
            <w:gridSpan w:val="5"/>
            <w:noWrap w:val="0"/>
            <w:vAlign w:val="center"/>
          </w:tcPr>
          <w:p w14:paraId="4BD70AF1">
            <w:pPr>
              <w:pStyle w:val="17"/>
              <w:bidi w:val="0"/>
              <w:rPr>
                <w:rFonts w:hint="default"/>
              </w:rPr>
            </w:pPr>
            <w:r>
              <w:rPr>
                <w:rFonts w:hint="default"/>
              </w:rPr>
              <w:t>合计</w:t>
            </w:r>
          </w:p>
        </w:tc>
        <w:tc>
          <w:tcPr>
            <w:tcW w:w="1220" w:type="pct"/>
            <w:gridSpan w:val="2"/>
            <w:noWrap w:val="0"/>
            <w:vAlign w:val="center"/>
          </w:tcPr>
          <w:p w14:paraId="5B04CA3A">
            <w:pPr>
              <w:pStyle w:val="17"/>
              <w:bidi w:val="0"/>
              <w:rPr>
                <w:rFonts w:hint="default"/>
              </w:rPr>
            </w:pPr>
            <w:r>
              <w:rPr>
                <w:rFonts w:hint="default"/>
              </w:rPr>
              <w:t>13821</w:t>
            </w:r>
          </w:p>
        </w:tc>
      </w:tr>
    </w:tbl>
    <w:p w14:paraId="7E792563">
      <w:pPr>
        <w:pStyle w:val="3"/>
        <w:kinsoku/>
        <w:wordWrap/>
        <w:topLinePunct w:val="0"/>
        <w:autoSpaceDE/>
        <w:autoSpaceDN/>
        <w:bidi w:val="0"/>
        <w:adjustRightInd/>
        <w:snapToGrid/>
        <w:spacing w:before="0" w:after="0" w:line="360" w:lineRule="auto"/>
        <w:textAlignment w:val="auto"/>
        <w:rPr>
          <w:rFonts w:hint="default" w:ascii="Times New Roman" w:hAnsi="Times New Roman" w:cs="Times New Roman"/>
          <w:color w:val="auto"/>
          <w:sz w:val="28"/>
          <w:szCs w:val="28"/>
        </w:rPr>
        <w:sectPr>
          <w:pgSz w:w="16838" w:h="11906" w:orient="landscape"/>
          <w:pgMar w:top="1800" w:right="1440" w:bottom="1800" w:left="1440" w:header="851" w:footer="992" w:gutter="0"/>
          <w:pgNumType w:fmt="numberInDash"/>
          <w:cols w:space="0" w:num="1"/>
          <w:rtlGutter w:val="0"/>
          <w:docGrid w:type="lines" w:linePitch="332" w:charSpace="0"/>
        </w:sectPr>
      </w:pPr>
      <w:bookmarkStart w:id="122" w:name="_Toc82172440"/>
    </w:p>
    <w:p w14:paraId="5CBCE502">
      <w:pPr>
        <w:pStyle w:val="3"/>
        <w:bidi w:val="0"/>
        <w:rPr>
          <w:rFonts w:hint="default"/>
        </w:rPr>
      </w:pPr>
      <w:bookmarkStart w:id="123" w:name="_Toc16332"/>
      <w:r>
        <w:rPr>
          <w:rFonts w:hint="default"/>
        </w:rPr>
        <w:t>参乡一号桥汇水范围</w:t>
      </w:r>
      <w:bookmarkEnd w:id="122"/>
      <w:bookmarkEnd w:id="123"/>
    </w:p>
    <w:p w14:paraId="5AAF98C5">
      <w:pPr>
        <w:pStyle w:val="16"/>
        <w:bidi w:val="0"/>
        <w:rPr>
          <w:rFonts w:hint="default"/>
        </w:rPr>
      </w:pPr>
      <w:r>
        <w:rPr>
          <w:rFonts w:hint="default"/>
        </w:rPr>
        <w:t>表</w:t>
      </w:r>
      <w:r>
        <w:rPr>
          <w:rFonts w:hint="eastAsia"/>
          <w:lang w:val="en-US" w:eastAsia="zh-CN"/>
        </w:rPr>
        <w:t>4</w:t>
      </w:r>
      <w:r>
        <w:rPr>
          <w:rFonts w:hint="default"/>
        </w:rPr>
        <w:t>-3参乡一号桥控制单元重点项目清单</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708"/>
        <w:gridCol w:w="1768"/>
        <w:gridCol w:w="6633"/>
        <w:gridCol w:w="1332"/>
        <w:gridCol w:w="1473"/>
        <w:gridCol w:w="1517"/>
      </w:tblGrid>
      <w:tr w14:paraId="79EC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noWrap w:val="0"/>
            <w:vAlign w:val="center"/>
          </w:tcPr>
          <w:p w14:paraId="732F44A2">
            <w:pPr>
              <w:pStyle w:val="17"/>
              <w:bidi w:val="0"/>
              <w:rPr>
                <w:rFonts w:hint="default"/>
              </w:rPr>
            </w:pPr>
            <w:r>
              <w:rPr>
                <w:rFonts w:hint="default"/>
              </w:rPr>
              <w:t>序号</w:t>
            </w:r>
          </w:p>
        </w:tc>
        <w:tc>
          <w:tcPr>
            <w:tcW w:w="250" w:type="pct"/>
            <w:noWrap w:val="0"/>
            <w:vAlign w:val="center"/>
          </w:tcPr>
          <w:p w14:paraId="099848C0">
            <w:pPr>
              <w:pStyle w:val="17"/>
              <w:bidi w:val="0"/>
              <w:rPr>
                <w:rFonts w:hint="default"/>
              </w:rPr>
            </w:pPr>
            <w:r>
              <w:rPr>
                <w:rFonts w:hint="default"/>
              </w:rPr>
              <w:t>地点</w:t>
            </w:r>
          </w:p>
        </w:tc>
        <w:tc>
          <w:tcPr>
            <w:tcW w:w="624" w:type="pct"/>
            <w:noWrap w:val="0"/>
            <w:vAlign w:val="center"/>
          </w:tcPr>
          <w:p w14:paraId="3574DFB4">
            <w:pPr>
              <w:pStyle w:val="17"/>
              <w:bidi w:val="0"/>
              <w:rPr>
                <w:rFonts w:hint="default"/>
              </w:rPr>
            </w:pPr>
            <w:r>
              <w:rPr>
                <w:rFonts w:hint="default"/>
              </w:rPr>
              <w:t>项目</w:t>
            </w:r>
          </w:p>
          <w:p w14:paraId="19BCA9FB">
            <w:pPr>
              <w:pStyle w:val="17"/>
              <w:bidi w:val="0"/>
              <w:rPr>
                <w:rFonts w:hint="default"/>
              </w:rPr>
            </w:pPr>
            <w:r>
              <w:rPr>
                <w:rFonts w:hint="default"/>
              </w:rPr>
              <w:t>名称</w:t>
            </w:r>
          </w:p>
        </w:tc>
        <w:tc>
          <w:tcPr>
            <w:tcW w:w="2341" w:type="pct"/>
            <w:noWrap w:val="0"/>
            <w:vAlign w:val="center"/>
          </w:tcPr>
          <w:p w14:paraId="28460278">
            <w:pPr>
              <w:pStyle w:val="17"/>
              <w:bidi w:val="0"/>
              <w:rPr>
                <w:rFonts w:hint="default"/>
              </w:rPr>
            </w:pPr>
            <w:r>
              <w:rPr>
                <w:rFonts w:hint="default"/>
              </w:rPr>
              <w:t>项目内容</w:t>
            </w:r>
          </w:p>
        </w:tc>
        <w:tc>
          <w:tcPr>
            <w:tcW w:w="469" w:type="pct"/>
            <w:noWrap w:val="0"/>
            <w:vAlign w:val="center"/>
          </w:tcPr>
          <w:p w14:paraId="3BF73213">
            <w:pPr>
              <w:pStyle w:val="17"/>
              <w:bidi w:val="0"/>
              <w:rPr>
                <w:rFonts w:hint="default"/>
              </w:rPr>
            </w:pPr>
            <w:r>
              <w:rPr>
                <w:rFonts w:hint="default"/>
              </w:rPr>
              <w:t>责任单位</w:t>
            </w:r>
          </w:p>
        </w:tc>
        <w:tc>
          <w:tcPr>
            <w:tcW w:w="520" w:type="pct"/>
            <w:noWrap w:val="0"/>
            <w:vAlign w:val="center"/>
          </w:tcPr>
          <w:p w14:paraId="2DE96173">
            <w:pPr>
              <w:pStyle w:val="17"/>
              <w:bidi w:val="0"/>
              <w:rPr>
                <w:rFonts w:hint="default"/>
              </w:rPr>
            </w:pPr>
            <w:r>
              <w:rPr>
                <w:rFonts w:hint="default"/>
              </w:rPr>
              <w:t>总投资金额（万元）</w:t>
            </w:r>
          </w:p>
        </w:tc>
        <w:tc>
          <w:tcPr>
            <w:tcW w:w="535" w:type="pct"/>
            <w:noWrap w:val="0"/>
            <w:vAlign w:val="center"/>
          </w:tcPr>
          <w:p w14:paraId="7769547B">
            <w:pPr>
              <w:pStyle w:val="17"/>
              <w:bidi w:val="0"/>
              <w:rPr>
                <w:rFonts w:hint="default"/>
              </w:rPr>
            </w:pPr>
            <w:r>
              <w:rPr>
                <w:rFonts w:hint="default"/>
              </w:rPr>
              <w:t>实施时限（年）</w:t>
            </w:r>
          </w:p>
        </w:tc>
      </w:tr>
      <w:tr w14:paraId="1DB40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noWrap w:val="0"/>
            <w:vAlign w:val="center"/>
          </w:tcPr>
          <w:p w14:paraId="0BED37BD">
            <w:pPr>
              <w:pStyle w:val="17"/>
              <w:bidi w:val="0"/>
              <w:rPr>
                <w:rFonts w:hint="default"/>
              </w:rPr>
            </w:pPr>
            <w:r>
              <w:rPr>
                <w:rFonts w:hint="default"/>
              </w:rPr>
              <w:t>1</w:t>
            </w:r>
          </w:p>
        </w:tc>
        <w:tc>
          <w:tcPr>
            <w:tcW w:w="250" w:type="pct"/>
            <w:noWrap w:val="0"/>
            <w:vAlign w:val="center"/>
          </w:tcPr>
          <w:p w14:paraId="682245DF">
            <w:pPr>
              <w:pStyle w:val="17"/>
              <w:bidi w:val="0"/>
              <w:rPr>
                <w:rFonts w:hint="default"/>
              </w:rPr>
            </w:pPr>
            <w:r>
              <w:rPr>
                <w:rFonts w:hint="default"/>
              </w:rPr>
              <w:t>江源区湾沟镇</w:t>
            </w:r>
          </w:p>
        </w:tc>
        <w:tc>
          <w:tcPr>
            <w:tcW w:w="624" w:type="pct"/>
            <w:noWrap w:val="0"/>
            <w:vAlign w:val="center"/>
          </w:tcPr>
          <w:p w14:paraId="4B8AD805">
            <w:pPr>
              <w:pStyle w:val="17"/>
              <w:bidi w:val="0"/>
              <w:rPr>
                <w:rFonts w:hint="default"/>
              </w:rPr>
            </w:pPr>
            <w:r>
              <w:rPr>
                <w:rFonts w:hint="default"/>
              </w:rPr>
              <w:t>白山市江源区湾沟镇污水处理工程一期工程</w:t>
            </w:r>
          </w:p>
        </w:tc>
        <w:tc>
          <w:tcPr>
            <w:tcW w:w="2341" w:type="pct"/>
            <w:noWrap w:val="0"/>
            <w:vAlign w:val="center"/>
          </w:tcPr>
          <w:p w14:paraId="4916D736">
            <w:pPr>
              <w:pStyle w:val="17"/>
              <w:bidi w:val="0"/>
              <w:rPr>
                <w:rFonts w:hint="default"/>
              </w:rPr>
            </w:pPr>
            <w:r>
              <w:rPr>
                <w:rFonts w:hint="default"/>
              </w:rPr>
              <w:t>新建污水处理厂1座，污水处理规模近期1.0万m</w:t>
            </w:r>
            <w:r>
              <w:rPr>
                <w:rFonts w:hint="default"/>
                <w:vertAlign w:val="superscript"/>
              </w:rPr>
              <w:t>3</w:t>
            </w:r>
            <w:r>
              <w:rPr>
                <w:rFonts w:hint="default"/>
              </w:rPr>
              <w:t>/d，出水达到《城镇污水处理厂污染物排放标准》（GB18918-2002）一级标准中的A类标准，新建排水管网总长度8445m。</w:t>
            </w:r>
          </w:p>
        </w:tc>
        <w:tc>
          <w:tcPr>
            <w:tcW w:w="469" w:type="pct"/>
            <w:tcBorders>
              <w:left w:val="nil"/>
            </w:tcBorders>
            <w:noWrap w:val="0"/>
            <w:vAlign w:val="center"/>
          </w:tcPr>
          <w:p w14:paraId="7812831E">
            <w:pPr>
              <w:pStyle w:val="17"/>
              <w:bidi w:val="0"/>
              <w:rPr>
                <w:rFonts w:hint="default"/>
              </w:rPr>
            </w:pPr>
            <w:r>
              <w:rPr>
                <w:rFonts w:hint="default"/>
              </w:rPr>
              <w:t>江源区人民政府</w:t>
            </w:r>
          </w:p>
        </w:tc>
        <w:tc>
          <w:tcPr>
            <w:tcW w:w="520" w:type="pct"/>
            <w:noWrap w:val="0"/>
            <w:vAlign w:val="center"/>
          </w:tcPr>
          <w:p w14:paraId="628F076A">
            <w:pPr>
              <w:pStyle w:val="17"/>
              <w:bidi w:val="0"/>
              <w:rPr>
                <w:rFonts w:hint="default"/>
              </w:rPr>
            </w:pPr>
            <w:r>
              <w:rPr>
                <w:rFonts w:hint="default"/>
              </w:rPr>
              <w:t>9330</w:t>
            </w:r>
          </w:p>
        </w:tc>
        <w:tc>
          <w:tcPr>
            <w:tcW w:w="535" w:type="pct"/>
            <w:noWrap w:val="0"/>
            <w:vAlign w:val="center"/>
          </w:tcPr>
          <w:p w14:paraId="6F46D3AD">
            <w:pPr>
              <w:pStyle w:val="17"/>
              <w:bidi w:val="0"/>
              <w:rPr>
                <w:rFonts w:hint="default"/>
              </w:rPr>
            </w:pPr>
            <w:r>
              <w:rPr>
                <w:rFonts w:hint="default"/>
              </w:rPr>
              <w:t>2020-</w:t>
            </w:r>
          </w:p>
          <w:p w14:paraId="2AC49B36">
            <w:pPr>
              <w:pStyle w:val="17"/>
              <w:bidi w:val="0"/>
              <w:rPr>
                <w:rFonts w:hint="default"/>
              </w:rPr>
            </w:pPr>
            <w:r>
              <w:rPr>
                <w:rFonts w:hint="default"/>
              </w:rPr>
              <w:t>2025</w:t>
            </w:r>
          </w:p>
        </w:tc>
      </w:tr>
      <w:tr w14:paraId="0ABB5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noWrap w:val="0"/>
            <w:vAlign w:val="center"/>
          </w:tcPr>
          <w:p w14:paraId="6778BB89">
            <w:pPr>
              <w:pStyle w:val="17"/>
              <w:bidi w:val="0"/>
              <w:rPr>
                <w:rFonts w:hint="default"/>
              </w:rPr>
            </w:pPr>
            <w:r>
              <w:rPr>
                <w:rFonts w:hint="default"/>
              </w:rPr>
              <w:t>2</w:t>
            </w:r>
          </w:p>
        </w:tc>
        <w:tc>
          <w:tcPr>
            <w:tcW w:w="250" w:type="pct"/>
            <w:noWrap w:val="0"/>
            <w:vAlign w:val="center"/>
          </w:tcPr>
          <w:p w14:paraId="06E7C18E">
            <w:pPr>
              <w:pStyle w:val="17"/>
              <w:bidi w:val="0"/>
              <w:rPr>
                <w:rFonts w:hint="default"/>
              </w:rPr>
            </w:pPr>
            <w:r>
              <w:rPr>
                <w:rFonts w:hint="default"/>
              </w:rPr>
              <w:t>江源区松树镇</w:t>
            </w:r>
          </w:p>
        </w:tc>
        <w:tc>
          <w:tcPr>
            <w:tcW w:w="624" w:type="pct"/>
            <w:noWrap w:val="0"/>
            <w:vAlign w:val="center"/>
          </w:tcPr>
          <w:p w14:paraId="752F4591">
            <w:pPr>
              <w:pStyle w:val="17"/>
              <w:bidi w:val="0"/>
              <w:rPr>
                <w:rFonts w:hint="default"/>
              </w:rPr>
            </w:pPr>
            <w:r>
              <w:rPr>
                <w:rFonts w:hint="default"/>
              </w:rPr>
              <w:t>白山市江源区松树镇污水处理站</w:t>
            </w:r>
          </w:p>
        </w:tc>
        <w:tc>
          <w:tcPr>
            <w:tcW w:w="2341" w:type="pct"/>
            <w:noWrap w:val="0"/>
            <w:vAlign w:val="center"/>
          </w:tcPr>
          <w:p w14:paraId="136806A5">
            <w:pPr>
              <w:pStyle w:val="17"/>
              <w:bidi w:val="0"/>
              <w:rPr>
                <w:rFonts w:hint="default"/>
              </w:rPr>
            </w:pPr>
            <w:r>
              <w:rPr>
                <w:rFonts w:hint="default"/>
              </w:rPr>
              <w:t>白山市江源区松树镇新建污水处理站1座，污水处理规模约650m</w:t>
            </w:r>
            <w:r>
              <w:rPr>
                <w:rFonts w:hint="default"/>
                <w:vertAlign w:val="superscript"/>
              </w:rPr>
              <w:t>3</w:t>
            </w:r>
            <w:r>
              <w:rPr>
                <w:rFonts w:hint="default"/>
              </w:rPr>
              <w:t>/d，出水水质标准为一级A标准，新建污水管网长度约219m。</w:t>
            </w:r>
          </w:p>
        </w:tc>
        <w:tc>
          <w:tcPr>
            <w:tcW w:w="469" w:type="pct"/>
            <w:tcBorders>
              <w:left w:val="nil"/>
            </w:tcBorders>
            <w:noWrap w:val="0"/>
            <w:vAlign w:val="center"/>
          </w:tcPr>
          <w:p w14:paraId="05B3CED5">
            <w:pPr>
              <w:pStyle w:val="17"/>
              <w:bidi w:val="0"/>
              <w:rPr>
                <w:rFonts w:hint="default"/>
              </w:rPr>
            </w:pPr>
            <w:r>
              <w:rPr>
                <w:rFonts w:hint="default"/>
              </w:rPr>
              <w:t>江源区人民政府</w:t>
            </w:r>
          </w:p>
        </w:tc>
        <w:tc>
          <w:tcPr>
            <w:tcW w:w="520" w:type="pct"/>
            <w:noWrap w:val="0"/>
            <w:vAlign w:val="center"/>
          </w:tcPr>
          <w:p w14:paraId="58CCF770">
            <w:pPr>
              <w:pStyle w:val="17"/>
              <w:bidi w:val="0"/>
              <w:rPr>
                <w:rFonts w:hint="default"/>
              </w:rPr>
            </w:pPr>
            <w:r>
              <w:rPr>
                <w:rFonts w:hint="default"/>
              </w:rPr>
              <w:t>434</w:t>
            </w:r>
          </w:p>
        </w:tc>
        <w:tc>
          <w:tcPr>
            <w:tcW w:w="535" w:type="pct"/>
            <w:noWrap w:val="0"/>
            <w:vAlign w:val="center"/>
          </w:tcPr>
          <w:p w14:paraId="6189F713">
            <w:pPr>
              <w:pStyle w:val="17"/>
              <w:bidi w:val="0"/>
              <w:rPr>
                <w:rFonts w:hint="default"/>
              </w:rPr>
            </w:pPr>
            <w:r>
              <w:rPr>
                <w:rFonts w:hint="default"/>
              </w:rPr>
              <w:t>2022-</w:t>
            </w:r>
          </w:p>
          <w:p w14:paraId="57FFAE96">
            <w:pPr>
              <w:pStyle w:val="17"/>
              <w:bidi w:val="0"/>
              <w:rPr>
                <w:rFonts w:hint="default"/>
              </w:rPr>
            </w:pPr>
            <w:r>
              <w:rPr>
                <w:rFonts w:hint="default"/>
              </w:rPr>
              <w:t>2025</w:t>
            </w:r>
          </w:p>
        </w:tc>
      </w:tr>
      <w:tr w14:paraId="74E3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noWrap w:val="0"/>
            <w:vAlign w:val="center"/>
          </w:tcPr>
          <w:p w14:paraId="1CC223AF">
            <w:pPr>
              <w:pStyle w:val="17"/>
              <w:bidi w:val="0"/>
              <w:rPr>
                <w:rFonts w:hint="default"/>
              </w:rPr>
            </w:pPr>
            <w:r>
              <w:rPr>
                <w:rFonts w:hint="default"/>
              </w:rPr>
              <w:t>3</w:t>
            </w:r>
          </w:p>
        </w:tc>
        <w:tc>
          <w:tcPr>
            <w:tcW w:w="250" w:type="pct"/>
            <w:noWrap w:val="0"/>
            <w:vAlign w:val="center"/>
          </w:tcPr>
          <w:p w14:paraId="0627948F">
            <w:pPr>
              <w:pStyle w:val="17"/>
              <w:bidi w:val="0"/>
              <w:rPr>
                <w:rFonts w:hint="default"/>
              </w:rPr>
            </w:pPr>
            <w:r>
              <w:rPr>
                <w:rFonts w:hint="default"/>
              </w:rPr>
              <w:t>江源区汤河流域</w:t>
            </w:r>
          </w:p>
        </w:tc>
        <w:tc>
          <w:tcPr>
            <w:tcW w:w="624" w:type="pct"/>
            <w:noWrap w:val="0"/>
            <w:vAlign w:val="center"/>
          </w:tcPr>
          <w:p w14:paraId="2398AF7A">
            <w:pPr>
              <w:pStyle w:val="17"/>
              <w:bidi w:val="0"/>
              <w:rPr>
                <w:rFonts w:hint="default"/>
              </w:rPr>
            </w:pPr>
            <w:r>
              <w:rPr>
                <w:rFonts w:hint="default"/>
              </w:rPr>
              <w:t>建制村污水治理项目</w:t>
            </w:r>
          </w:p>
        </w:tc>
        <w:tc>
          <w:tcPr>
            <w:tcW w:w="2341" w:type="pct"/>
            <w:noWrap w:val="0"/>
            <w:vAlign w:val="center"/>
          </w:tcPr>
          <w:p w14:paraId="4379CBDA">
            <w:pPr>
              <w:pStyle w:val="17"/>
              <w:bidi w:val="0"/>
              <w:rPr>
                <w:rFonts w:hint="default"/>
              </w:rPr>
            </w:pPr>
            <w:r>
              <w:rPr>
                <w:rFonts w:hint="default"/>
              </w:rPr>
              <w:t>松树镇、湾沟镇两镇所辖16个建制村污水处理设施及管网建设</w:t>
            </w:r>
          </w:p>
        </w:tc>
        <w:tc>
          <w:tcPr>
            <w:tcW w:w="469" w:type="pct"/>
            <w:tcBorders>
              <w:left w:val="nil"/>
            </w:tcBorders>
            <w:noWrap w:val="0"/>
            <w:vAlign w:val="center"/>
          </w:tcPr>
          <w:p w14:paraId="6F22DD1F">
            <w:pPr>
              <w:pStyle w:val="17"/>
              <w:bidi w:val="0"/>
              <w:rPr>
                <w:rFonts w:hint="default"/>
              </w:rPr>
            </w:pPr>
            <w:r>
              <w:rPr>
                <w:rFonts w:hint="default"/>
              </w:rPr>
              <w:t>江源区人民政府</w:t>
            </w:r>
          </w:p>
        </w:tc>
        <w:tc>
          <w:tcPr>
            <w:tcW w:w="520" w:type="pct"/>
            <w:noWrap w:val="0"/>
            <w:vAlign w:val="center"/>
          </w:tcPr>
          <w:p w14:paraId="73C91DCA">
            <w:pPr>
              <w:pStyle w:val="17"/>
              <w:bidi w:val="0"/>
              <w:rPr>
                <w:rFonts w:hint="default"/>
              </w:rPr>
            </w:pPr>
            <w:r>
              <w:rPr>
                <w:rFonts w:hint="default"/>
              </w:rPr>
              <w:t>3720</w:t>
            </w:r>
          </w:p>
        </w:tc>
        <w:tc>
          <w:tcPr>
            <w:tcW w:w="535" w:type="pct"/>
            <w:noWrap w:val="0"/>
            <w:vAlign w:val="center"/>
          </w:tcPr>
          <w:p w14:paraId="40BE04B4">
            <w:pPr>
              <w:pStyle w:val="17"/>
              <w:bidi w:val="0"/>
              <w:rPr>
                <w:rFonts w:hint="default"/>
              </w:rPr>
            </w:pPr>
            <w:r>
              <w:rPr>
                <w:rFonts w:hint="default"/>
              </w:rPr>
              <w:t>2021-</w:t>
            </w:r>
          </w:p>
          <w:p w14:paraId="6C0F91F8">
            <w:pPr>
              <w:pStyle w:val="17"/>
              <w:bidi w:val="0"/>
              <w:rPr>
                <w:rFonts w:hint="default"/>
              </w:rPr>
            </w:pPr>
            <w:r>
              <w:rPr>
                <w:rFonts w:hint="default"/>
              </w:rPr>
              <w:t>2025</w:t>
            </w:r>
          </w:p>
        </w:tc>
      </w:tr>
      <w:tr w14:paraId="7C687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noWrap w:val="0"/>
            <w:vAlign w:val="center"/>
          </w:tcPr>
          <w:p w14:paraId="1E534CF7">
            <w:pPr>
              <w:pStyle w:val="17"/>
              <w:bidi w:val="0"/>
              <w:rPr>
                <w:rFonts w:hint="default"/>
              </w:rPr>
            </w:pPr>
            <w:r>
              <w:rPr>
                <w:rFonts w:hint="default"/>
              </w:rPr>
              <w:t>4</w:t>
            </w:r>
          </w:p>
        </w:tc>
        <w:tc>
          <w:tcPr>
            <w:tcW w:w="250" w:type="pct"/>
            <w:noWrap w:val="0"/>
            <w:vAlign w:val="center"/>
          </w:tcPr>
          <w:p w14:paraId="3EAAB9A9">
            <w:pPr>
              <w:pStyle w:val="17"/>
              <w:bidi w:val="0"/>
              <w:rPr>
                <w:rFonts w:hint="default"/>
              </w:rPr>
            </w:pPr>
            <w:r>
              <w:rPr>
                <w:rFonts w:hint="default"/>
              </w:rPr>
              <w:t>江源区汤河流域</w:t>
            </w:r>
          </w:p>
        </w:tc>
        <w:tc>
          <w:tcPr>
            <w:tcW w:w="624" w:type="pct"/>
            <w:noWrap w:val="0"/>
            <w:vAlign w:val="center"/>
          </w:tcPr>
          <w:p w14:paraId="7A731F65">
            <w:pPr>
              <w:pStyle w:val="17"/>
              <w:bidi w:val="0"/>
              <w:rPr>
                <w:rFonts w:hint="default"/>
              </w:rPr>
            </w:pPr>
            <w:r>
              <w:rPr>
                <w:rFonts w:hint="default"/>
              </w:rPr>
              <w:t>农业农村污染防治（种植结构调整工程）</w:t>
            </w:r>
          </w:p>
        </w:tc>
        <w:tc>
          <w:tcPr>
            <w:tcW w:w="2341" w:type="pct"/>
            <w:noWrap w:val="0"/>
            <w:vAlign w:val="center"/>
          </w:tcPr>
          <w:p w14:paraId="775D3F36">
            <w:pPr>
              <w:pStyle w:val="17"/>
              <w:bidi w:val="0"/>
              <w:rPr>
                <w:rFonts w:hint="default"/>
              </w:rPr>
            </w:pPr>
            <w:r>
              <w:rPr>
                <w:rFonts w:hint="default"/>
              </w:rPr>
              <w:t>开展“退粮进特”、“退耕还林”、“休耕轮作”等一系列种植结构调整行动，调减籽粒玉米种植，新增特色种植</w:t>
            </w:r>
          </w:p>
        </w:tc>
        <w:tc>
          <w:tcPr>
            <w:tcW w:w="469" w:type="pct"/>
            <w:tcBorders>
              <w:left w:val="nil"/>
            </w:tcBorders>
            <w:noWrap w:val="0"/>
            <w:vAlign w:val="center"/>
          </w:tcPr>
          <w:p w14:paraId="40E1DF80">
            <w:pPr>
              <w:pStyle w:val="17"/>
              <w:bidi w:val="0"/>
              <w:rPr>
                <w:rFonts w:hint="default"/>
              </w:rPr>
            </w:pPr>
            <w:r>
              <w:rPr>
                <w:rFonts w:hint="default"/>
              </w:rPr>
              <w:t>江源区人民政府</w:t>
            </w:r>
          </w:p>
        </w:tc>
        <w:tc>
          <w:tcPr>
            <w:tcW w:w="520" w:type="pct"/>
            <w:noWrap w:val="0"/>
            <w:vAlign w:val="center"/>
          </w:tcPr>
          <w:p w14:paraId="6295667F">
            <w:pPr>
              <w:pStyle w:val="17"/>
              <w:bidi w:val="0"/>
              <w:rPr>
                <w:rFonts w:hint="default"/>
              </w:rPr>
            </w:pPr>
            <w:r>
              <w:rPr>
                <w:rFonts w:hint="default"/>
              </w:rPr>
              <w:t>820</w:t>
            </w:r>
          </w:p>
        </w:tc>
        <w:tc>
          <w:tcPr>
            <w:tcW w:w="535" w:type="pct"/>
            <w:noWrap w:val="0"/>
            <w:vAlign w:val="center"/>
          </w:tcPr>
          <w:p w14:paraId="32F6B42D">
            <w:pPr>
              <w:pStyle w:val="17"/>
              <w:bidi w:val="0"/>
              <w:rPr>
                <w:rFonts w:hint="default"/>
              </w:rPr>
            </w:pPr>
            <w:r>
              <w:rPr>
                <w:rFonts w:hint="default"/>
              </w:rPr>
              <w:t>2020-2025</w:t>
            </w:r>
          </w:p>
        </w:tc>
      </w:tr>
      <w:tr w14:paraId="510D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noWrap w:val="0"/>
            <w:vAlign w:val="center"/>
          </w:tcPr>
          <w:p w14:paraId="4994870E">
            <w:pPr>
              <w:pStyle w:val="17"/>
              <w:bidi w:val="0"/>
              <w:rPr>
                <w:rFonts w:hint="default"/>
              </w:rPr>
            </w:pPr>
            <w:r>
              <w:rPr>
                <w:rFonts w:hint="default"/>
              </w:rPr>
              <w:t>5</w:t>
            </w:r>
          </w:p>
        </w:tc>
        <w:tc>
          <w:tcPr>
            <w:tcW w:w="250" w:type="pct"/>
            <w:noWrap w:val="0"/>
            <w:vAlign w:val="center"/>
          </w:tcPr>
          <w:p w14:paraId="221EA4E2">
            <w:pPr>
              <w:pStyle w:val="17"/>
              <w:bidi w:val="0"/>
              <w:rPr>
                <w:rFonts w:hint="default"/>
              </w:rPr>
            </w:pPr>
            <w:r>
              <w:rPr>
                <w:rFonts w:hint="default"/>
              </w:rPr>
              <w:t>江源区汤河流域</w:t>
            </w:r>
          </w:p>
        </w:tc>
        <w:tc>
          <w:tcPr>
            <w:tcW w:w="624" w:type="pct"/>
            <w:noWrap w:val="0"/>
            <w:vAlign w:val="center"/>
          </w:tcPr>
          <w:p w14:paraId="76A1E3AF">
            <w:pPr>
              <w:pStyle w:val="17"/>
              <w:bidi w:val="0"/>
              <w:rPr>
                <w:rFonts w:hint="default"/>
              </w:rPr>
            </w:pPr>
            <w:r>
              <w:rPr>
                <w:rFonts w:hint="default"/>
              </w:rPr>
              <w:t>农业农村污染防治（测土施肥工程）</w:t>
            </w:r>
          </w:p>
        </w:tc>
        <w:tc>
          <w:tcPr>
            <w:tcW w:w="2341" w:type="pct"/>
            <w:noWrap w:val="0"/>
            <w:vAlign w:val="center"/>
          </w:tcPr>
          <w:p w14:paraId="046749B6">
            <w:pPr>
              <w:pStyle w:val="17"/>
              <w:bidi w:val="0"/>
              <w:rPr>
                <w:rFonts w:hint="default"/>
              </w:rPr>
            </w:pPr>
            <w:r>
              <w:rPr>
                <w:rFonts w:hint="default"/>
              </w:rPr>
              <w:t>运用微谱化学成分分析手段对耕地地块的肥力、酸碱性、微生物等情况进行定性或定量分析，总结出耕地适宜种植的农作物品种，并对所种植的农作物所需的肥料种类及用量进行微谱配方分析、并做含量勾兑，有提高土地利用效率</w:t>
            </w:r>
          </w:p>
        </w:tc>
        <w:tc>
          <w:tcPr>
            <w:tcW w:w="469" w:type="pct"/>
            <w:tcBorders>
              <w:left w:val="nil"/>
            </w:tcBorders>
            <w:noWrap w:val="0"/>
            <w:vAlign w:val="center"/>
          </w:tcPr>
          <w:p w14:paraId="08DD1540">
            <w:pPr>
              <w:pStyle w:val="17"/>
              <w:bidi w:val="0"/>
              <w:rPr>
                <w:rFonts w:hint="default"/>
              </w:rPr>
            </w:pPr>
            <w:r>
              <w:rPr>
                <w:rFonts w:hint="default"/>
              </w:rPr>
              <w:t>江源区人民政府</w:t>
            </w:r>
          </w:p>
        </w:tc>
        <w:tc>
          <w:tcPr>
            <w:tcW w:w="520" w:type="pct"/>
            <w:noWrap w:val="0"/>
            <w:vAlign w:val="center"/>
          </w:tcPr>
          <w:p w14:paraId="6E8188FF">
            <w:pPr>
              <w:pStyle w:val="17"/>
              <w:bidi w:val="0"/>
              <w:rPr>
                <w:rFonts w:hint="default"/>
              </w:rPr>
            </w:pPr>
            <w:r>
              <w:rPr>
                <w:rFonts w:hint="default"/>
              </w:rPr>
              <w:t>230</w:t>
            </w:r>
          </w:p>
        </w:tc>
        <w:tc>
          <w:tcPr>
            <w:tcW w:w="535" w:type="pct"/>
            <w:noWrap w:val="0"/>
            <w:vAlign w:val="center"/>
          </w:tcPr>
          <w:p w14:paraId="46E20EF4">
            <w:pPr>
              <w:pStyle w:val="17"/>
              <w:bidi w:val="0"/>
              <w:rPr>
                <w:rFonts w:hint="default"/>
              </w:rPr>
            </w:pPr>
            <w:r>
              <w:rPr>
                <w:rFonts w:hint="default"/>
              </w:rPr>
              <w:t>2020-2025</w:t>
            </w:r>
          </w:p>
        </w:tc>
      </w:tr>
      <w:tr w14:paraId="491D6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noWrap w:val="0"/>
            <w:vAlign w:val="center"/>
          </w:tcPr>
          <w:p w14:paraId="7A00F5EC">
            <w:pPr>
              <w:pStyle w:val="17"/>
              <w:bidi w:val="0"/>
              <w:rPr>
                <w:rFonts w:hint="default"/>
              </w:rPr>
            </w:pPr>
            <w:r>
              <w:rPr>
                <w:rFonts w:hint="default"/>
              </w:rPr>
              <w:t>6</w:t>
            </w:r>
          </w:p>
        </w:tc>
        <w:tc>
          <w:tcPr>
            <w:tcW w:w="250" w:type="pct"/>
            <w:noWrap w:val="0"/>
            <w:vAlign w:val="center"/>
          </w:tcPr>
          <w:p w14:paraId="257F4D13">
            <w:pPr>
              <w:pStyle w:val="17"/>
              <w:bidi w:val="0"/>
              <w:rPr>
                <w:rFonts w:hint="default"/>
              </w:rPr>
            </w:pPr>
            <w:r>
              <w:rPr>
                <w:rFonts w:hint="default"/>
              </w:rPr>
              <w:t>江源区汤河流域</w:t>
            </w:r>
          </w:p>
        </w:tc>
        <w:tc>
          <w:tcPr>
            <w:tcW w:w="624" w:type="pct"/>
            <w:noWrap w:val="0"/>
            <w:vAlign w:val="center"/>
          </w:tcPr>
          <w:p w14:paraId="42614575">
            <w:pPr>
              <w:pStyle w:val="17"/>
              <w:bidi w:val="0"/>
              <w:rPr>
                <w:rFonts w:hint="default"/>
              </w:rPr>
            </w:pPr>
            <w:r>
              <w:rPr>
                <w:rFonts w:hint="default"/>
              </w:rPr>
              <w:t>农业农村污染防治（有机肥推广）</w:t>
            </w:r>
          </w:p>
        </w:tc>
        <w:tc>
          <w:tcPr>
            <w:tcW w:w="2341" w:type="pct"/>
            <w:noWrap w:val="0"/>
            <w:vAlign w:val="center"/>
          </w:tcPr>
          <w:p w14:paraId="6069BE94">
            <w:pPr>
              <w:pStyle w:val="17"/>
              <w:bidi w:val="0"/>
              <w:rPr>
                <w:rFonts w:hint="default"/>
              </w:rPr>
            </w:pPr>
            <w:r>
              <w:rPr>
                <w:rFonts w:hint="default"/>
              </w:rPr>
              <w:t>通过有机废弃物堆肥还田、果园生草、设施菜地秸秆生物反应堆和商品有机肥等模式，采取有机肥替代化肥</w:t>
            </w:r>
          </w:p>
        </w:tc>
        <w:tc>
          <w:tcPr>
            <w:tcW w:w="469" w:type="pct"/>
            <w:tcBorders>
              <w:left w:val="nil"/>
            </w:tcBorders>
            <w:noWrap w:val="0"/>
            <w:vAlign w:val="center"/>
          </w:tcPr>
          <w:p w14:paraId="69EFA2AF">
            <w:pPr>
              <w:pStyle w:val="17"/>
              <w:bidi w:val="0"/>
              <w:rPr>
                <w:rFonts w:hint="default"/>
              </w:rPr>
            </w:pPr>
            <w:r>
              <w:rPr>
                <w:rFonts w:hint="default"/>
              </w:rPr>
              <w:t>江源区人民政府</w:t>
            </w:r>
          </w:p>
        </w:tc>
        <w:tc>
          <w:tcPr>
            <w:tcW w:w="520" w:type="pct"/>
            <w:noWrap w:val="0"/>
            <w:vAlign w:val="center"/>
          </w:tcPr>
          <w:p w14:paraId="7477FA47">
            <w:pPr>
              <w:pStyle w:val="17"/>
              <w:bidi w:val="0"/>
              <w:rPr>
                <w:rFonts w:hint="default"/>
              </w:rPr>
            </w:pPr>
            <w:r>
              <w:rPr>
                <w:rFonts w:hint="default"/>
              </w:rPr>
              <w:t>1200</w:t>
            </w:r>
          </w:p>
        </w:tc>
        <w:tc>
          <w:tcPr>
            <w:tcW w:w="535" w:type="pct"/>
            <w:noWrap w:val="0"/>
            <w:vAlign w:val="center"/>
          </w:tcPr>
          <w:p w14:paraId="6CB8EB44">
            <w:pPr>
              <w:pStyle w:val="17"/>
              <w:bidi w:val="0"/>
              <w:rPr>
                <w:rFonts w:hint="default"/>
              </w:rPr>
            </w:pPr>
            <w:r>
              <w:rPr>
                <w:rFonts w:hint="default"/>
              </w:rPr>
              <w:t>2020-2025</w:t>
            </w:r>
          </w:p>
        </w:tc>
      </w:tr>
      <w:tr w14:paraId="3DC78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noWrap w:val="0"/>
            <w:vAlign w:val="center"/>
          </w:tcPr>
          <w:p w14:paraId="62D348AE">
            <w:pPr>
              <w:pStyle w:val="17"/>
              <w:bidi w:val="0"/>
              <w:rPr>
                <w:rFonts w:hint="default"/>
              </w:rPr>
            </w:pPr>
            <w:r>
              <w:rPr>
                <w:rFonts w:hint="default"/>
              </w:rPr>
              <w:t>7</w:t>
            </w:r>
          </w:p>
        </w:tc>
        <w:tc>
          <w:tcPr>
            <w:tcW w:w="250" w:type="pct"/>
            <w:noWrap w:val="0"/>
            <w:vAlign w:val="center"/>
          </w:tcPr>
          <w:p w14:paraId="3AC59C6E">
            <w:pPr>
              <w:pStyle w:val="17"/>
              <w:bidi w:val="0"/>
              <w:rPr>
                <w:rFonts w:hint="default"/>
              </w:rPr>
            </w:pPr>
            <w:r>
              <w:rPr>
                <w:rFonts w:hint="default"/>
              </w:rPr>
              <w:t>湾沟镇石灰石矿</w:t>
            </w:r>
          </w:p>
        </w:tc>
        <w:tc>
          <w:tcPr>
            <w:tcW w:w="624" w:type="pct"/>
            <w:noWrap w:val="0"/>
            <w:vAlign w:val="center"/>
          </w:tcPr>
          <w:p w14:paraId="3EFABFF4">
            <w:pPr>
              <w:pStyle w:val="17"/>
              <w:bidi w:val="0"/>
              <w:rPr>
                <w:rFonts w:hint="default"/>
              </w:rPr>
            </w:pPr>
            <w:r>
              <w:rPr>
                <w:rFonts w:hint="default"/>
              </w:rPr>
              <w:t>江源区湾沟镇石灰石矿矿山地质环境治理工程(山水林田湖草二期）</w:t>
            </w:r>
          </w:p>
        </w:tc>
        <w:tc>
          <w:tcPr>
            <w:tcW w:w="2341" w:type="pct"/>
            <w:noWrap w:val="0"/>
            <w:vAlign w:val="center"/>
          </w:tcPr>
          <w:p w14:paraId="442063F8">
            <w:pPr>
              <w:pStyle w:val="17"/>
              <w:bidi w:val="0"/>
              <w:rPr>
                <w:rFonts w:hint="default"/>
              </w:rPr>
            </w:pPr>
            <w:r>
              <w:rPr>
                <w:rFonts w:hint="default"/>
              </w:rPr>
              <w:t>包括：采场边坡治理工程及场地治理工程。采场治理：危岩体清理工程14149立方米、废石外运工程14149立方米、边坡治理（爬山虎）工程11016株。场地治理：场地平整工程26434.16立方米、场地绿化工程8414株。</w:t>
            </w:r>
          </w:p>
        </w:tc>
        <w:tc>
          <w:tcPr>
            <w:tcW w:w="469" w:type="pct"/>
            <w:tcBorders>
              <w:left w:val="nil"/>
            </w:tcBorders>
            <w:noWrap w:val="0"/>
            <w:vAlign w:val="center"/>
          </w:tcPr>
          <w:p w14:paraId="71B1D574">
            <w:pPr>
              <w:pStyle w:val="17"/>
              <w:bidi w:val="0"/>
              <w:rPr>
                <w:rFonts w:hint="default"/>
              </w:rPr>
            </w:pPr>
            <w:r>
              <w:rPr>
                <w:rFonts w:hint="default"/>
              </w:rPr>
              <w:t>江源区人民政府</w:t>
            </w:r>
          </w:p>
        </w:tc>
        <w:tc>
          <w:tcPr>
            <w:tcW w:w="520" w:type="pct"/>
            <w:noWrap w:val="0"/>
            <w:vAlign w:val="center"/>
          </w:tcPr>
          <w:p w14:paraId="2C6F4917">
            <w:pPr>
              <w:pStyle w:val="17"/>
              <w:bidi w:val="0"/>
              <w:rPr>
                <w:rFonts w:hint="default"/>
              </w:rPr>
            </w:pPr>
          </w:p>
        </w:tc>
        <w:tc>
          <w:tcPr>
            <w:tcW w:w="535" w:type="pct"/>
            <w:noWrap w:val="0"/>
            <w:vAlign w:val="center"/>
          </w:tcPr>
          <w:p w14:paraId="2738D585">
            <w:pPr>
              <w:pStyle w:val="17"/>
              <w:bidi w:val="0"/>
              <w:rPr>
                <w:rFonts w:hint="default"/>
              </w:rPr>
            </w:pPr>
            <w:r>
              <w:rPr>
                <w:rFonts w:hint="default"/>
              </w:rPr>
              <w:t>2021-2025</w:t>
            </w:r>
          </w:p>
        </w:tc>
      </w:tr>
      <w:tr w14:paraId="47F3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noWrap w:val="0"/>
            <w:vAlign w:val="center"/>
          </w:tcPr>
          <w:p w14:paraId="187DF627">
            <w:pPr>
              <w:pStyle w:val="17"/>
              <w:bidi w:val="0"/>
              <w:rPr>
                <w:rFonts w:hint="default"/>
              </w:rPr>
            </w:pPr>
            <w:r>
              <w:rPr>
                <w:rFonts w:hint="default"/>
              </w:rPr>
              <w:t>8</w:t>
            </w:r>
          </w:p>
        </w:tc>
        <w:tc>
          <w:tcPr>
            <w:tcW w:w="250" w:type="pct"/>
            <w:noWrap w:val="0"/>
            <w:vAlign w:val="center"/>
          </w:tcPr>
          <w:p w14:paraId="1AA28E3E">
            <w:pPr>
              <w:pStyle w:val="17"/>
              <w:bidi w:val="0"/>
              <w:rPr>
                <w:rFonts w:hint="default"/>
              </w:rPr>
            </w:pPr>
            <w:r>
              <w:rPr>
                <w:rFonts w:hint="default"/>
              </w:rPr>
              <w:t>湾沟矿区</w:t>
            </w:r>
          </w:p>
        </w:tc>
        <w:tc>
          <w:tcPr>
            <w:tcW w:w="624" w:type="pct"/>
            <w:noWrap w:val="0"/>
            <w:vAlign w:val="center"/>
          </w:tcPr>
          <w:p w14:paraId="03E37AD8">
            <w:pPr>
              <w:pStyle w:val="17"/>
              <w:bidi w:val="0"/>
              <w:rPr>
                <w:rFonts w:hint="default"/>
              </w:rPr>
            </w:pPr>
            <w:r>
              <w:rPr>
                <w:rFonts w:hint="default"/>
              </w:rPr>
              <w:t>湾沟矿区矿山环境综合整治项目内容(山水林田湖草二期）</w:t>
            </w:r>
          </w:p>
        </w:tc>
        <w:tc>
          <w:tcPr>
            <w:tcW w:w="2341" w:type="pct"/>
            <w:noWrap w:val="0"/>
            <w:vAlign w:val="center"/>
          </w:tcPr>
          <w:p w14:paraId="772379EE">
            <w:pPr>
              <w:pStyle w:val="17"/>
              <w:bidi w:val="0"/>
              <w:rPr>
                <w:rFonts w:hint="default"/>
              </w:rPr>
            </w:pPr>
            <w:r>
              <w:rPr>
                <w:rFonts w:hint="default"/>
              </w:rPr>
              <w:t>包括：工矿废弃地治理总面积523.18公顷、废弃建筑物及废弃居民区清理128.39公顷、矿场清理平整355.78公顷、采煤沉陷区居民避36险安置39.01公顷、客土261.59万立方米、建设水源涵养林355.78公顷。</w:t>
            </w:r>
          </w:p>
          <w:p w14:paraId="61E3A6DC">
            <w:pPr>
              <w:pStyle w:val="17"/>
              <w:bidi w:val="0"/>
              <w:rPr>
                <w:rFonts w:hint="default"/>
              </w:rPr>
            </w:pPr>
          </w:p>
        </w:tc>
        <w:tc>
          <w:tcPr>
            <w:tcW w:w="469" w:type="pct"/>
            <w:tcBorders>
              <w:left w:val="nil"/>
            </w:tcBorders>
            <w:noWrap w:val="0"/>
            <w:vAlign w:val="center"/>
          </w:tcPr>
          <w:p w14:paraId="05AB6485">
            <w:pPr>
              <w:pStyle w:val="17"/>
              <w:bidi w:val="0"/>
              <w:rPr>
                <w:rFonts w:hint="default"/>
              </w:rPr>
            </w:pPr>
            <w:r>
              <w:rPr>
                <w:rFonts w:hint="default"/>
              </w:rPr>
              <w:t>江源区人民政府</w:t>
            </w:r>
          </w:p>
        </w:tc>
        <w:tc>
          <w:tcPr>
            <w:tcW w:w="520" w:type="pct"/>
            <w:noWrap w:val="0"/>
            <w:vAlign w:val="center"/>
          </w:tcPr>
          <w:p w14:paraId="37305B75">
            <w:pPr>
              <w:pStyle w:val="17"/>
              <w:bidi w:val="0"/>
              <w:rPr>
                <w:rFonts w:hint="default"/>
              </w:rPr>
            </w:pPr>
          </w:p>
        </w:tc>
        <w:tc>
          <w:tcPr>
            <w:tcW w:w="535" w:type="pct"/>
            <w:noWrap w:val="0"/>
            <w:vAlign w:val="center"/>
          </w:tcPr>
          <w:p w14:paraId="67463000">
            <w:pPr>
              <w:pStyle w:val="17"/>
              <w:bidi w:val="0"/>
              <w:rPr>
                <w:rFonts w:hint="default"/>
              </w:rPr>
            </w:pPr>
            <w:r>
              <w:rPr>
                <w:rFonts w:hint="default"/>
              </w:rPr>
              <w:t>2021-2025</w:t>
            </w:r>
          </w:p>
        </w:tc>
      </w:tr>
      <w:tr w14:paraId="74B6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noWrap w:val="0"/>
            <w:vAlign w:val="center"/>
          </w:tcPr>
          <w:p w14:paraId="5316975C">
            <w:pPr>
              <w:pStyle w:val="17"/>
              <w:bidi w:val="0"/>
              <w:rPr>
                <w:rFonts w:hint="default"/>
              </w:rPr>
            </w:pPr>
            <w:r>
              <w:rPr>
                <w:rFonts w:hint="default"/>
              </w:rPr>
              <w:t>9</w:t>
            </w:r>
          </w:p>
        </w:tc>
        <w:tc>
          <w:tcPr>
            <w:tcW w:w="250" w:type="pct"/>
            <w:noWrap w:val="0"/>
            <w:vAlign w:val="center"/>
          </w:tcPr>
          <w:p w14:paraId="4A0D621C">
            <w:pPr>
              <w:pStyle w:val="17"/>
              <w:bidi w:val="0"/>
              <w:rPr>
                <w:rFonts w:hint="default"/>
              </w:rPr>
            </w:pPr>
            <w:r>
              <w:rPr>
                <w:rFonts w:hint="default"/>
              </w:rPr>
              <w:t>松树矿区</w:t>
            </w:r>
          </w:p>
        </w:tc>
        <w:tc>
          <w:tcPr>
            <w:tcW w:w="624" w:type="pct"/>
            <w:noWrap w:val="0"/>
            <w:vAlign w:val="center"/>
          </w:tcPr>
          <w:p w14:paraId="36499DC7">
            <w:pPr>
              <w:pStyle w:val="17"/>
              <w:bidi w:val="0"/>
              <w:rPr>
                <w:rFonts w:hint="default"/>
              </w:rPr>
            </w:pPr>
            <w:r>
              <w:rPr>
                <w:rFonts w:hint="default"/>
              </w:rPr>
              <w:t>松树矿区矿山环境综合整治项目(山水林田湖草二期）</w:t>
            </w:r>
          </w:p>
        </w:tc>
        <w:tc>
          <w:tcPr>
            <w:tcW w:w="2341" w:type="pct"/>
            <w:noWrap w:val="0"/>
            <w:vAlign w:val="center"/>
          </w:tcPr>
          <w:p w14:paraId="35180306">
            <w:pPr>
              <w:pStyle w:val="17"/>
              <w:bidi w:val="0"/>
              <w:rPr>
                <w:rFonts w:hint="default"/>
              </w:rPr>
            </w:pPr>
            <w:r>
              <w:rPr>
                <w:rFonts w:hint="default"/>
              </w:rPr>
              <w:t>主要建设内容为：工矿废弃地治理总面积370.98公顷、废弃建筑物及废弃居民区清理28.58公顷、矿场清理平整312.28公顷、采煤沉陷区居民避险安置30.12公顷、客土185.49万立方米、建设水源涵养林312.28公顷。</w:t>
            </w:r>
          </w:p>
        </w:tc>
        <w:tc>
          <w:tcPr>
            <w:tcW w:w="469" w:type="pct"/>
            <w:tcBorders>
              <w:left w:val="nil"/>
            </w:tcBorders>
            <w:noWrap w:val="0"/>
            <w:vAlign w:val="center"/>
          </w:tcPr>
          <w:p w14:paraId="1E143099">
            <w:pPr>
              <w:pStyle w:val="17"/>
              <w:bidi w:val="0"/>
              <w:rPr>
                <w:rFonts w:hint="default"/>
              </w:rPr>
            </w:pPr>
            <w:r>
              <w:rPr>
                <w:rFonts w:hint="default"/>
              </w:rPr>
              <w:t>江源区人民政府</w:t>
            </w:r>
          </w:p>
        </w:tc>
        <w:tc>
          <w:tcPr>
            <w:tcW w:w="520" w:type="pct"/>
            <w:noWrap w:val="0"/>
            <w:vAlign w:val="center"/>
          </w:tcPr>
          <w:p w14:paraId="6021E5B2">
            <w:pPr>
              <w:pStyle w:val="17"/>
              <w:bidi w:val="0"/>
              <w:rPr>
                <w:rFonts w:hint="default"/>
              </w:rPr>
            </w:pPr>
          </w:p>
        </w:tc>
        <w:tc>
          <w:tcPr>
            <w:tcW w:w="535" w:type="pct"/>
            <w:noWrap w:val="0"/>
            <w:vAlign w:val="center"/>
          </w:tcPr>
          <w:p w14:paraId="33C1FA6F">
            <w:pPr>
              <w:pStyle w:val="17"/>
              <w:bidi w:val="0"/>
              <w:rPr>
                <w:rFonts w:hint="default"/>
              </w:rPr>
            </w:pPr>
            <w:r>
              <w:rPr>
                <w:rFonts w:hint="default"/>
              </w:rPr>
              <w:t>2021-2025</w:t>
            </w:r>
          </w:p>
        </w:tc>
      </w:tr>
      <w:tr w14:paraId="72AE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 w:type="pct"/>
            <w:noWrap w:val="0"/>
            <w:vAlign w:val="center"/>
          </w:tcPr>
          <w:p w14:paraId="592ED493">
            <w:pPr>
              <w:pStyle w:val="17"/>
              <w:bidi w:val="0"/>
              <w:rPr>
                <w:rFonts w:hint="default" w:eastAsia="宋体"/>
                <w:lang w:val="en-US" w:eastAsia="zh-CN"/>
              </w:rPr>
            </w:pPr>
            <w:r>
              <w:rPr>
                <w:rFonts w:hint="eastAsia"/>
                <w:lang w:val="en-US" w:eastAsia="zh-CN"/>
              </w:rPr>
              <w:t>10</w:t>
            </w:r>
          </w:p>
        </w:tc>
        <w:tc>
          <w:tcPr>
            <w:tcW w:w="250" w:type="pct"/>
            <w:noWrap w:val="0"/>
            <w:vAlign w:val="center"/>
          </w:tcPr>
          <w:p w14:paraId="0135C8EF">
            <w:pPr>
              <w:pStyle w:val="17"/>
              <w:bidi w:val="0"/>
              <w:rPr>
                <w:rFonts w:hint="default" w:eastAsia="宋体"/>
                <w:lang w:val="en-US" w:eastAsia="zh-CN"/>
              </w:rPr>
            </w:pPr>
            <w:r>
              <w:rPr>
                <w:rFonts w:hint="eastAsia"/>
                <w:lang w:val="en-US" w:eastAsia="zh-CN"/>
              </w:rPr>
              <w:t>湾沟镇松树镇</w:t>
            </w:r>
          </w:p>
        </w:tc>
        <w:tc>
          <w:tcPr>
            <w:tcW w:w="624" w:type="pct"/>
            <w:noWrap w:val="0"/>
            <w:vAlign w:val="center"/>
          </w:tcPr>
          <w:p w14:paraId="0E2D076D">
            <w:pPr>
              <w:pStyle w:val="17"/>
              <w:bidi w:val="0"/>
              <w:rPr>
                <w:rFonts w:hint="default"/>
              </w:rPr>
            </w:pPr>
            <w:r>
              <w:rPr>
                <w:rFonts w:hint="eastAsia"/>
                <w:lang w:val="en-US" w:eastAsia="zh-CN"/>
              </w:rPr>
              <w:t>汤河流域水生态保护修复工程</w:t>
            </w:r>
          </w:p>
        </w:tc>
        <w:tc>
          <w:tcPr>
            <w:tcW w:w="2341" w:type="pct"/>
            <w:noWrap w:val="0"/>
            <w:vAlign w:val="center"/>
          </w:tcPr>
          <w:p w14:paraId="2CAC94A9">
            <w:pPr>
              <w:pStyle w:val="17"/>
              <w:bidi w:val="0"/>
              <w:rPr>
                <w:rFonts w:hint="default"/>
              </w:rPr>
            </w:pPr>
            <w:r>
              <w:rPr>
                <w:rFonts w:hint="eastAsia"/>
                <w:lang w:val="en-US" w:eastAsia="zh-CN"/>
              </w:rPr>
              <w:t>加强江源区汤河段生态缓冲（隔离）带建设，在湾沟镇、松树镇汤河沿岸建设生态缓冲带，推进湾沟镇、松树镇进行生态护岸治理。</w:t>
            </w:r>
          </w:p>
        </w:tc>
        <w:tc>
          <w:tcPr>
            <w:tcW w:w="469" w:type="pct"/>
            <w:tcBorders>
              <w:left w:val="nil"/>
            </w:tcBorders>
            <w:noWrap w:val="0"/>
            <w:vAlign w:val="center"/>
          </w:tcPr>
          <w:p w14:paraId="56B2EC79">
            <w:pPr>
              <w:pStyle w:val="17"/>
              <w:bidi w:val="0"/>
              <w:rPr>
                <w:rFonts w:hint="default"/>
              </w:rPr>
            </w:pPr>
            <w:r>
              <w:rPr>
                <w:rFonts w:hint="default"/>
              </w:rPr>
              <w:t>江源区人民政府</w:t>
            </w:r>
          </w:p>
        </w:tc>
        <w:tc>
          <w:tcPr>
            <w:tcW w:w="520" w:type="pct"/>
            <w:noWrap w:val="0"/>
            <w:vAlign w:val="center"/>
          </w:tcPr>
          <w:p w14:paraId="29B57E08">
            <w:pPr>
              <w:pStyle w:val="17"/>
              <w:bidi w:val="0"/>
              <w:rPr>
                <w:rFonts w:hint="default" w:eastAsia="宋体"/>
                <w:lang w:val="en-US" w:eastAsia="zh-CN"/>
              </w:rPr>
            </w:pPr>
            <w:r>
              <w:rPr>
                <w:rFonts w:hint="eastAsia"/>
                <w:lang w:val="en-US" w:eastAsia="zh-CN"/>
              </w:rPr>
              <w:t>6608.98</w:t>
            </w:r>
          </w:p>
        </w:tc>
        <w:tc>
          <w:tcPr>
            <w:tcW w:w="535" w:type="pct"/>
            <w:noWrap w:val="0"/>
            <w:vAlign w:val="center"/>
          </w:tcPr>
          <w:p w14:paraId="6BADEB31">
            <w:pPr>
              <w:pStyle w:val="17"/>
              <w:bidi w:val="0"/>
              <w:rPr>
                <w:rFonts w:hint="default" w:eastAsia="宋体"/>
                <w:lang w:val="en-US" w:eastAsia="zh-CN"/>
              </w:rPr>
            </w:pPr>
            <w:r>
              <w:rPr>
                <w:rFonts w:hint="eastAsia"/>
                <w:lang w:val="en-US" w:eastAsia="zh-CN"/>
              </w:rPr>
              <w:t>2021-2025</w:t>
            </w:r>
          </w:p>
        </w:tc>
      </w:tr>
      <w:tr w14:paraId="124FB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4" w:type="pct"/>
            <w:gridSpan w:val="5"/>
            <w:noWrap w:val="0"/>
            <w:vAlign w:val="center"/>
          </w:tcPr>
          <w:p w14:paraId="071287CE">
            <w:pPr>
              <w:pStyle w:val="17"/>
              <w:bidi w:val="0"/>
              <w:rPr>
                <w:rFonts w:hint="default"/>
              </w:rPr>
            </w:pPr>
            <w:r>
              <w:rPr>
                <w:rFonts w:hint="default"/>
              </w:rPr>
              <w:t>合计</w:t>
            </w:r>
          </w:p>
        </w:tc>
        <w:tc>
          <w:tcPr>
            <w:tcW w:w="1055" w:type="pct"/>
            <w:gridSpan w:val="2"/>
            <w:noWrap w:val="0"/>
            <w:vAlign w:val="center"/>
          </w:tcPr>
          <w:p w14:paraId="5C39F364">
            <w:pPr>
              <w:pStyle w:val="17"/>
              <w:bidi w:val="0"/>
              <w:rPr>
                <w:rFonts w:hint="eastAsia" w:eastAsia="宋体"/>
                <w:lang w:eastAsia="zh-CN"/>
              </w:rPr>
            </w:pPr>
            <w:r>
              <w:rPr>
                <w:rFonts w:hint="eastAsia"/>
                <w:lang w:eastAsia="zh-CN"/>
              </w:rPr>
              <w:t>22342.98</w:t>
            </w:r>
          </w:p>
        </w:tc>
      </w:tr>
    </w:tbl>
    <w:p w14:paraId="6F3E0D6C">
      <w:pPr>
        <w:kinsoku/>
        <w:wordWrap/>
        <w:topLinePunct w:val="0"/>
        <w:autoSpaceDE/>
        <w:autoSpaceDN/>
        <w:bidi w:val="0"/>
        <w:adjustRightInd/>
        <w:snapToGrid/>
        <w:textAlignment w:val="auto"/>
        <w:rPr>
          <w:rFonts w:hint="default" w:ascii="Times New Roman" w:hAnsi="Times New Roman" w:cs="Times New Roman"/>
          <w:color w:val="auto"/>
        </w:rPr>
      </w:pPr>
    </w:p>
    <w:p w14:paraId="0F8421E0">
      <w:pPr>
        <w:kinsoku/>
        <w:wordWrap/>
        <w:topLinePunct w:val="0"/>
        <w:autoSpaceDE/>
        <w:autoSpaceDN/>
        <w:bidi w:val="0"/>
        <w:adjustRightInd/>
        <w:snapToGrid/>
        <w:textAlignment w:val="auto"/>
        <w:rPr>
          <w:rFonts w:hint="default" w:ascii="Times New Roman" w:hAnsi="Times New Roman" w:cs="Times New Roman"/>
          <w:color w:val="auto"/>
        </w:rPr>
      </w:pPr>
    </w:p>
    <w:p w14:paraId="24ABFAAF">
      <w:pPr>
        <w:kinsoku/>
        <w:wordWrap/>
        <w:topLinePunct w:val="0"/>
        <w:autoSpaceDE/>
        <w:autoSpaceDN/>
        <w:bidi w:val="0"/>
        <w:adjustRightInd/>
        <w:snapToGrid/>
        <w:textAlignment w:val="auto"/>
        <w:rPr>
          <w:rFonts w:hint="default" w:ascii="Times New Roman" w:hAnsi="Times New Roman" w:cs="Times New Roman"/>
          <w:color w:val="auto"/>
        </w:rPr>
      </w:pPr>
    </w:p>
    <w:p w14:paraId="6F9B7CA9">
      <w:pPr>
        <w:kinsoku/>
        <w:wordWrap/>
        <w:topLinePunct w:val="0"/>
        <w:autoSpaceDE/>
        <w:autoSpaceDN/>
        <w:bidi w:val="0"/>
        <w:adjustRightInd/>
        <w:snapToGrid/>
        <w:textAlignment w:val="auto"/>
        <w:rPr>
          <w:rFonts w:hint="default" w:ascii="Times New Roman" w:hAnsi="Times New Roman" w:cs="Times New Roman"/>
          <w:color w:val="auto"/>
        </w:rPr>
      </w:pPr>
    </w:p>
    <w:p w14:paraId="7AD8C402">
      <w:pPr>
        <w:kinsoku/>
        <w:wordWrap/>
        <w:topLinePunct w:val="0"/>
        <w:autoSpaceDE/>
        <w:autoSpaceDN/>
        <w:bidi w:val="0"/>
        <w:adjustRightInd/>
        <w:snapToGrid/>
        <w:textAlignment w:val="auto"/>
        <w:rPr>
          <w:rFonts w:hint="default" w:ascii="Times New Roman" w:hAnsi="Times New Roman" w:cs="Times New Roman"/>
          <w:color w:val="auto"/>
        </w:rPr>
      </w:pPr>
    </w:p>
    <w:p w14:paraId="4DDCD36D">
      <w:pPr>
        <w:kinsoku/>
        <w:wordWrap/>
        <w:topLinePunct w:val="0"/>
        <w:autoSpaceDE/>
        <w:autoSpaceDN/>
        <w:bidi w:val="0"/>
        <w:adjustRightInd/>
        <w:snapToGrid/>
        <w:textAlignment w:val="auto"/>
        <w:rPr>
          <w:rFonts w:hint="default" w:ascii="Times New Roman" w:hAnsi="Times New Roman" w:cs="Times New Roman"/>
          <w:color w:val="auto"/>
        </w:rPr>
      </w:pPr>
    </w:p>
    <w:p w14:paraId="662A80D0">
      <w:pPr>
        <w:kinsoku/>
        <w:wordWrap/>
        <w:topLinePunct w:val="0"/>
        <w:autoSpaceDE/>
        <w:autoSpaceDN/>
        <w:bidi w:val="0"/>
        <w:adjustRightInd/>
        <w:snapToGrid/>
        <w:textAlignment w:val="auto"/>
        <w:rPr>
          <w:rFonts w:hint="default" w:ascii="Times New Roman" w:hAnsi="Times New Roman" w:cs="Times New Roman"/>
          <w:color w:val="auto"/>
        </w:rPr>
      </w:pPr>
    </w:p>
    <w:p w14:paraId="16D1747B">
      <w:pPr>
        <w:kinsoku/>
        <w:wordWrap/>
        <w:topLinePunct w:val="0"/>
        <w:autoSpaceDE/>
        <w:autoSpaceDN/>
        <w:bidi w:val="0"/>
        <w:adjustRightInd/>
        <w:snapToGrid/>
        <w:textAlignment w:val="auto"/>
        <w:rPr>
          <w:rFonts w:hint="default" w:ascii="Times New Roman" w:hAnsi="Times New Roman" w:cs="Times New Roman"/>
          <w:color w:val="auto"/>
        </w:rPr>
      </w:pPr>
    </w:p>
    <w:p w14:paraId="1BDCF2DA">
      <w:pPr>
        <w:pStyle w:val="16"/>
        <w:bidi w:val="0"/>
        <w:rPr>
          <w:rFonts w:hint="default"/>
        </w:rPr>
      </w:pPr>
      <w:r>
        <w:rPr>
          <w:rFonts w:hint="default"/>
        </w:rPr>
        <w:drawing>
          <wp:anchor distT="0" distB="0" distL="114300" distR="114300" simplePos="0" relativeHeight="251660288" behindDoc="0" locked="0" layoutInCell="1" allowOverlap="1">
            <wp:simplePos x="0" y="0"/>
            <wp:positionH relativeFrom="column">
              <wp:posOffset>262890</wp:posOffset>
            </wp:positionH>
            <wp:positionV relativeFrom="paragraph">
              <wp:posOffset>-17145</wp:posOffset>
            </wp:positionV>
            <wp:extent cx="8341360" cy="5186045"/>
            <wp:effectExtent l="0" t="0" r="2540" b="14605"/>
            <wp:wrapNone/>
            <wp:docPr id="14" name="图片 5" descr="ea5b9d8c2f7084e63eeb74642b50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ea5b9d8c2f7084e63eeb74642b50ab9"/>
                    <pic:cNvPicPr>
                      <a:picLocks noChangeAspect="1"/>
                    </pic:cNvPicPr>
                  </pic:nvPicPr>
                  <pic:blipFill>
                    <a:blip r:embed="rId23"/>
                    <a:stretch>
                      <a:fillRect/>
                    </a:stretch>
                  </pic:blipFill>
                  <pic:spPr>
                    <a:xfrm>
                      <a:off x="0" y="0"/>
                      <a:ext cx="8341360" cy="5186045"/>
                    </a:xfrm>
                    <a:prstGeom prst="rect">
                      <a:avLst/>
                    </a:prstGeom>
                    <a:noFill/>
                    <a:ln>
                      <a:noFill/>
                    </a:ln>
                  </pic:spPr>
                </pic:pic>
              </a:graphicData>
            </a:graphic>
          </wp:anchor>
        </w:drawing>
      </w:r>
    </w:p>
    <w:p w14:paraId="7CF886C8">
      <w:pPr>
        <w:kinsoku/>
        <w:wordWrap/>
        <w:topLinePunct w:val="0"/>
        <w:autoSpaceDE/>
        <w:autoSpaceDN/>
        <w:bidi w:val="0"/>
        <w:adjustRightInd/>
        <w:snapToGrid/>
        <w:textAlignment w:val="auto"/>
        <w:rPr>
          <w:rFonts w:hint="default" w:ascii="Times New Roman" w:hAnsi="Times New Roman" w:cs="Times New Roman"/>
          <w:color w:val="auto"/>
        </w:rPr>
      </w:pPr>
    </w:p>
    <w:p w14:paraId="553B8328">
      <w:pPr>
        <w:kinsoku/>
        <w:wordWrap/>
        <w:topLinePunct w:val="0"/>
        <w:autoSpaceDE/>
        <w:autoSpaceDN/>
        <w:bidi w:val="0"/>
        <w:adjustRightInd/>
        <w:snapToGrid/>
        <w:textAlignment w:val="auto"/>
        <w:rPr>
          <w:rFonts w:hint="default" w:ascii="Times New Roman" w:hAnsi="Times New Roman" w:cs="Times New Roman"/>
          <w:color w:val="auto"/>
        </w:rPr>
        <w:sectPr>
          <w:pgSz w:w="16838" w:h="11906" w:orient="landscape"/>
          <w:pgMar w:top="1800" w:right="1440" w:bottom="1800" w:left="1440" w:header="851" w:footer="992" w:gutter="0"/>
          <w:pgNumType w:fmt="numberInDash"/>
          <w:cols w:space="0" w:num="1"/>
          <w:rtlGutter w:val="0"/>
          <w:docGrid w:type="lines" w:linePitch="332" w:charSpace="0"/>
        </w:sectPr>
      </w:pPr>
    </w:p>
    <w:p w14:paraId="330F4650">
      <w:pPr>
        <w:pStyle w:val="2"/>
        <w:bidi w:val="0"/>
        <w:rPr>
          <w:rFonts w:hint="default"/>
        </w:rPr>
      </w:pPr>
      <w:bookmarkStart w:id="124" w:name="_Toc12422"/>
      <w:bookmarkStart w:id="125" w:name="_Toc82172441"/>
      <w:r>
        <w:rPr>
          <w:rFonts w:hint="default"/>
        </w:rPr>
        <w:t>政策措施</w:t>
      </w:r>
      <w:bookmarkEnd w:id="124"/>
      <w:bookmarkEnd w:id="125"/>
    </w:p>
    <w:p w14:paraId="6E3DEE34">
      <w:pPr>
        <w:kinsoku/>
        <w:wordWrap/>
        <w:topLinePunct w:val="0"/>
        <w:autoSpaceDE/>
        <w:autoSpaceDN/>
        <w:bidi w:val="0"/>
        <w:adjustRightInd/>
        <w:snapToGrid/>
        <w:spacing w:line="360" w:lineRule="auto"/>
        <w:ind w:firstLine="64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为确保实现规划目标和任务，从组织领导、法规标准、经济政策、科技支撑、监督管理、公众参与等方面建立健全水生态环境保护机制。</w:t>
      </w:r>
    </w:p>
    <w:p w14:paraId="0EEBD56E">
      <w:pPr>
        <w:pStyle w:val="3"/>
        <w:bidi w:val="0"/>
        <w:rPr>
          <w:rFonts w:hint="default"/>
        </w:rPr>
      </w:pPr>
      <w:bookmarkStart w:id="126" w:name="_Toc82172442"/>
      <w:bookmarkStart w:id="127" w:name="_Toc15252"/>
      <w:r>
        <w:rPr>
          <w:rFonts w:hint="default"/>
        </w:rPr>
        <w:t>组织领导</w:t>
      </w:r>
      <w:bookmarkEnd w:id="126"/>
      <w:bookmarkEnd w:id="127"/>
    </w:p>
    <w:p w14:paraId="03A0B651">
      <w:pPr>
        <w:kinsoku/>
        <w:wordWrap/>
        <w:topLinePunct w:val="0"/>
        <w:autoSpaceDE/>
        <w:autoSpaceDN/>
        <w:bidi w:val="0"/>
        <w:adjustRightInd/>
        <w:snapToGrid/>
        <w:spacing w:line="360" w:lineRule="auto"/>
        <w:ind w:firstLine="64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加强组织领导，成立江源区水生态保护组织机构，负责江源区水生态保护规划前期编制工作协调、组织编制实施方案、负责具体措施实施及监管。建立并落实江源区水生态保护工作目标责任制，严格按照规划制定的目标、方案及责任分工组织实施，实施单位和相关企业领导必须强化责任意识；相关工作人员对相关工作不推诿、不转嫁，真正形成人人负责、相互协作、齐抓共管的良好局面。</w:t>
      </w:r>
    </w:p>
    <w:p w14:paraId="63FC1516">
      <w:pPr>
        <w:pStyle w:val="3"/>
        <w:bidi w:val="0"/>
        <w:rPr>
          <w:rFonts w:hint="default"/>
        </w:rPr>
      </w:pPr>
      <w:bookmarkStart w:id="128" w:name="_Toc30053"/>
      <w:bookmarkStart w:id="129" w:name="_Toc82172443"/>
      <w:r>
        <w:rPr>
          <w:rFonts w:hint="default"/>
        </w:rPr>
        <w:t>法规标准</w:t>
      </w:r>
      <w:bookmarkEnd w:id="128"/>
      <w:bookmarkEnd w:id="129"/>
    </w:p>
    <w:p w14:paraId="36CDED91">
      <w:pPr>
        <w:kinsoku/>
        <w:wordWrap/>
        <w:topLinePunct w:val="0"/>
        <w:autoSpaceDE/>
        <w:autoSpaceDN/>
        <w:bidi w:val="0"/>
        <w:adjustRightInd/>
        <w:snapToGrid/>
        <w:spacing w:line="360" w:lineRule="auto"/>
        <w:ind w:firstLine="64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了江源区水生态保护规划顺利实施，建议参照国家级、地方法规、规范、标准开展十四五期间水生态环境保护工作。通过政府考核约束流域内对水资源、水环境和水生态的人为过度干预和破坏，加大保护及治理力度，使保护工作尽早见到成效。</w:t>
      </w:r>
    </w:p>
    <w:p w14:paraId="2995EB6C">
      <w:pPr>
        <w:pStyle w:val="3"/>
        <w:bidi w:val="0"/>
        <w:rPr>
          <w:rFonts w:hint="default"/>
        </w:rPr>
      </w:pPr>
      <w:bookmarkStart w:id="130" w:name="_Toc82172444"/>
      <w:bookmarkStart w:id="131" w:name="_Toc7927"/>
      <w:r>
        <w:rPr>
          <w:rFonts w:hint="default"/>
        </w:rPr>
        <w:t>经济政策</w:t>
      </w:r>
      <w:bookmarkEnd w:id="130"/>
      <w:bookmarkEnd w:id="131"/>
    </w:p>
    <w:p w14:paraId="05B39F02">
      <w:pPr>
        <w:kinsoku/>
        <w:wordWrap/>
        <w:topLinePunct w:val="0"/>
        <w:autoSpaceDE/>
        <w:autoSpaceDN/>
        <w:bidi w:val="0"/>
        <w:adjustRightInd/>
        <w:snapToGrid/>
        <w:spacing w:line="360" w:lineRule="auto"/>
        <w:ind w:firstLine="64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加大政府投入。区财政加大对属于区级事权的水环境保护项目支持力度。各乡镇政府要重点支持污水处理、污泥处理处置、河道整治、饮用水水源保护、畜禽养殖污染防治、水生态修复、应急清污等项目和工作。对环境监管能力建设及运行费用分级予以必要保障。</w:t>
      </w:r>
    </w:p>
    <w:p w14:paraId="18717A1F">
      <w:pPr>
        <w:kinsoku/>
        <w:wordWrap/>
        <w:topLinePunct w:val="0"/>
        <w:autoSpaceDE/>
        <w:autoSpaceDN/>
        <w:bidi w:val="0"/>
        <w:adjustRightInd/>
        <w:snapToGrid/>
        <w:spacing w:line="360" w:lineRule="auto"/>
        <w:ind w:firstLine="64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鼓励引导社会资本投入。积极推动设立融资担保基金，推进环保设备融资租赁业务发展。采取环境绩效合同服务、授予开发经营权益等方式，鼓励社会资本加大水环境保护投入。以污水、垃圾处理和工业园区为重点，积极推广PPP模式，推行环境污染第三方治理。</w:t>
      </w:r>
    </w:p>
    <w:p w14:paraId="7A8E9CDA">
      <w:pPr>
        <w:pStyle w:val="3"/>
        <w:bidi w:val="0"/>
        <w:rPr>
          <w:rFonts w:hint="default"/>
        </w:rPr>
      </w:pPr>
      <w:bookmarkStart w:id="132" w:name="_Toc9570"/>
      <w:bookmarkStart w:id="133" w:name="_Toc82172445"/>
      <w:r>
        <w:rPr>
          <w:rFonts w:hint="default"/>
        </w:rPr>
        <w:t>科技支撑</w:t>
      </w:r>
      <w:bookmarkEnd w:id="132"/>
      <w:bookmarkEnd w:id="133"/>
    </w:p>
    <w:p w14:paraId="0DE518FC">
      <w:pPr>
        <w:kinsoku/>
        <w:wordWrap/>
        <w:topLinePunct w:val="0"/>
        <w:autoSpaceDE/>
        <w:autoSpaceDN/>
        <w:bidi w:val="0"/>
        <w:adjustRightInd/>
        <w:snapToGrid/>
        <w:spacing w:line="360" w:lineRule="auto"/>
        <w:ind w:firstLine="64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强化控制单元管理。推进控制单元水环境信息管理平台建设，将水文、水资源、水质、经济社会等基础数据按控制单元归集，大力推动水环境保护大数据发展和应用，将控制单元作为落实环评准入、区域限批等各项环境管理措施与控源减排、截污导流等污染防治措施的基本空间单位，提升污染防治的科学化、信息化和精细化水平。</w:t>
      </w:r>
    </w:p>
    <w:p w14:paraId="1667640B">
      <w:pPr>
        <w:kinsoku/>
        <w:wordWrap/>
        <w:topLinePunct w:val="0"/>
        <w:autoSpaceDE/>
        <w:autoSpaceDN/>
        <w:bidi w:val="0"/>
        <w:adjustRightInd/>
        <w:snapToGrid/>
        <w:spacing w:line="360" w:lineRule="auto"/>
        <w:ind w:firstLine="64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完善先进适用技术推广服务体系。鼓励创新财税机制激励科技成果的应用推广，加快公共技术服务平台建设，加强水体污染控制与治理科技重大专项等项目科技成果的提炼、推广与应用。</w:t>
      </w:r>
    </w:p>
    <w:p w14:paraId="1501D3A3">
      <w:pPr>
        <w:kinsoku/>
        <w:wordWrap/>
        <w:topLinePunct w:val="0"/>
        <w:autoSpaceDE/>
        <w:autoSpaceDN/>
        <w:bidi w:val="0"/>
        <w:adjustRightInd/>
        <w:snapToGrid/>
        <w:spacing w:line="360" w:lineRule="auto"/>
        <w:ind w:firstLine="64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以需求为导向攻关研发前瞻技术。以控制单元水质改善、水生态保护、风险防范等需求为出发点，根据主要污染指标、主要污染来源、经济社会结构与布局等因素，优化污染防治战略部署和技术路线。加大科技研发的财政投入，针对特定控制单元总氮、总磷、重金属等特征污染物以及特定污染源、风险源，污水、雨水、地表水资源优化利用，农业农村水污染防治，城市(镇)生活污水处理节能、降耗、减排，化工、矿冶等重污染行业废水全过程治理与回用等攻关研发先进防治技术。</w:t>
      </w:r>
    </w:p>
    <w:p w14:paraId="310AE2BC">
      <w:pPr>
        <w:pStyle w:val="3"/>
        <w:bidi w:val="0"/>
        <w:rPr>
          <w:rFonts w:hint="default"/>
        </w:rPr>
      </w:pPr>
      <w:bookmarkStart w:id="134" w:name="_Toc82172446"/>
      <w:bookmarkStart w:id="135" w:name="_Toc12329"/>
      <w:r>
        <w:rPr>
          <w:rFonts w:hint="default"/>
        </w:rPr>
        <w:t>监督管理</w:t>
      </w:r>
      <w:bookmarkEnd w:id="134"/>
      <w:bookmarkEnd w:id="135"/>
    </w:p>
    <w:p w14:paraId="0C8A25B8">
      <w:pPr>
        <w:kinsoku/>
        <w:wordWrap/>
        <w:topLinePunct w:val="0"/>
        <w:autoSpaceDE/>
        <w:autoSpaceDN/>
        <w:bidi w:val="0"/>
        <w:adjustRightInd/>
        <w:snapToGrid/>
        <w:spacing w:line="360" w:lineRule="auto"/>
        <w:ind w:firstLine="64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立政府、企事业单位、公众定期沟通对话协商平台，拓展畅通政府、企事业、公众等利益相关方面参与决策的渠道，为公众、社会组织提供水污染防治法规培训和咨询，邀请其全程参与重要环保执法行动和重大水污染事件调查。鼓励和发展民间的非盈利性、非政府性的环保团体，形成组织化的公众参与和社会监督形式。公开曝光环境违法典型案件，健全举报制度，充分发挥“12369”环保举报热线和网络平台作用，限期办理群众举报投诉的环境问题。通过公开听证、网络征集等形式，充分听取公众对重大决策和建设项目的意见。积极推行环境公益诉讼，切实发挥环保社会组织在环境社会管理中的积极作用。</w:t>
      </w:r>
    </w:p>
    <w:p w14:paraId="0FC2C52E">
      <w:pPr>
        <w:pStyle w:val="3"/>
        <w:bidi w:val="0"/>
        <w:rPr>
          <w:rFonts w:hint="default"/>
        </w:rPr>
      </w:pPr>
      <w:bookmarkStart w:id="136" w:name="_Toc32624"/>
      <w:bookmarkStart w:id="137" w:name="_Toc82172447"/>
      <w:r>
        <w:rPr>
          <w:rFonts w:hint="default"/>
        </w:rPr>
        <w:t>公众参与</w:t>
      </w:r>
      <w:bookmarkEnd w:id="136"/>
      <w:bookmarkEnd w:id="137"/>
    </w:p>
    <w:p w14:paraId="7022E45F">
      <w:pPr>
        <w:kinsoku/>
        <w:wordWrap/>
        <w:topLinePunct w:val="0"/>
        <w:autoSpaceDE/>
        <w:autoSpaceDN/>
        <w:bidi w:val="0"/>
        <w:adjustRightInd/>
        <w:snapToGrid/>
        <w:spacing w:line="360" w:lineRule="auto"/>
        <w:ind w:firstLine="640"/>
        <w:textAlignment w:val="auto"/>
        <w:rPr>
          <w:rFonts w:hint="default" w:ascii="Times New Roman" w:hAnsi="Times New Roman" w:eastAsia="宋体" w:cs="Times New Roman"/>
          <w:color w:val="auto"/>
          <w:sz w:val="24"/>
          <w:szCs w:val="24"/>
        </w:rPr>
        <w:sectPr>
          <w:pgSz w:w="11906" w:h="16838"/>
          <w:pgMar w:top="1440" w:right="1800" w:bottom="1440" w:left="1800" w:header="851" w:footer="992" w:gutter="0"/>
          <w:pgNumType w:fmt="numberInDash"/>
          <w:cols w:space="0" w:num="1"/>
          <w:rtlGutter w:val="0"/>
          <w:docGrid w:type="lines" w:linePitch="332" w:charSpace="0"/>
        </w:sectPr>
      </w:pPr>
      <w:r>
        <w:rPr>
          <w:rFonts w:hint="default" w:ascii="Times New Roman" w:hAnsi="Times New Roman" w:eastAsia="宋体" w:cs="Times New Roman"/>
          <w:color w:val="auto"/>
          <w:sz w:val="24"/>
          <w:szCs w:val="24"/>
        </w:rPr>
        <w:t>充分利用广播电视、报刊杂志、网络微信等大众传媒，采取群众喜闻乐见、寓教于乐的形式，深入开展环境保护宣传教育活动，增强公民尊重自然、保护环境的意识，形成保护水环境的道德文化、价值观念，树立“节水洁水、人人有责”的行为准则和人水和谐理念。依托中小学节水教育、水土保持教育、环境教育等社会实践基地，开展环保社会实践活动。倡导绿色消费新风尚，开展环保社区、学校、家庭等群众性创建活动，推行政府绿色采购，鼓励公众购买使用节能节水产品和环境标志产品，营造爱护水环境的良好风气，共同为改善全区水环境质量而努力。</w:t>
      </w:r>
    </w:p>
    <w:p w14:paraId="7AA808ED">
      <w:pPr>
        <w:pStyle w:val="16"/>
        <w:bidi w:val="0"/>
        <w:jc w:val="both"/>
        <w:outlineLvl w:val="0"/>
        <w:rPr>
          <w:lang w:val="en-US" w:eastAsia="zh-CN"/>
        </w:rPr>
      </w:pPr>
      <w:bookmarkStart w:id="138" w:name="_Toc109652473"/>
      <w:bookmarkStart w:id="139" w:name="_Toc9654"/>
      <w:r>
        <w:rPr>
          <w:lang w:val="en-US" w:eastAsia="zh-CN"/>
        </w:rPr>
        <w:t>附表</w:t>
      </w:r>
      <w:bookmarkEnd w:id="138"/>
      <w:bookmarkEnd w:id="139"/>
    </w:p>
    <w:p w14:paraId="2ACBD006">
      <w:pPr>
        <w:pStyle w:val="16"/>
        <w:bidi w:val="0"/>
        <w:rPr>
          <w:lang w:val="en-US" w:eastAsia="zh-CN"/>
        </w:rPr>
      </w:pPr>
      <w:bookmarkStart w:id="140" w:name="_Toc109652474"/>
      <w:r>
        <w:rPr>
          <w:lang w:val="en-US" w:eastAsia="zh-CN"/>
        </w:rPr>
        <w:t>附表1 规划范围表</w:t>
      </w:r>
      <w:bookmarkEnd w:id="140"/>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2333"/>
        <w:gridCol w:w="9749"/>
      </w:tblGrid>
      <w:tr w14:paraId="5DBBB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trPr>
        <w:tc>
          <w:tcPr>
            <w:tcW w:w="1372" w:type="dxa"/>
            <w:noWrap w:val="0"/>
            <w:vAlign w:val="center"/>
          </w:tcPr>
          <w:p w14:paraId="468F7372">
            <w:pPr>
              <w:pStyle w:val="17"/>
              <w:bidi w:val="0"/>
            </w:pPr>
            <w:r>
              <w:t>水系</w:t>
            </w:r>
          </w:p>
        </w:tc>
        <w:tc>
          <w:tcPr>
            <w:tcW w:w="2333" w:type="dxa"/>
            <w:noWrap w:val="0"/>
            <w:vAlign w:val="center"/>
          </w:tcPr>
          <w:p w14:paraId="0F89C992">
            <w:pPr>
              <w:pStyle w:val="17"/>
              <w:bidi w:val="0"/>
            </w:pPr>
            <w:r>
              <w:rPr>
                <w:rFonts w:hint="eastAsia"/>
                <w:lang w:eastAsia="zh-CN"/>
              </w:rPr>
              <w:t>县</w:t>
            </w:r>
            <w:r>
              <w:t>级地区</w:t>
            </w:r>
          </w:p>
        </w:tc>
        <w:tc>
          <w:tcPr>
            <w:tcW w:w="9749" w:type="dxa"/>
            <w:noWrap w:val="0"/>
            <w:vAlign w:val="center"/>
          </w:tcPr>
          <w:p w14:paraId="24BA8BED">
            <w:pPr>
              <w:pStyle w:val="17"/>
              <w:bidi w:val="0"/>
            </w:pPr>
            <w:bookmarkStart w:id="141" w:name="RANGE!C1"/>
            <w:r>
              <w:rPr>
                <w:rFonts w:hint="eastAsia"/>
                <w:lang w:eastAsia="zh-CN"/>
              </w:rPr>
              <w:t>乡镇</w:t>
            </w:r>
            <w:r>
              <w:t>行政区</w:t>
            </w:r>
            <w:bookmarkEnd w:id="141"/>
          </w:p>
        </w:tc>
      </w:tr>
      <w:tr w14:paraId="49714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372" w:type="dxa"/>
            <w:noWrap w:val="0"/>
            <w:vAlign w:val="center"/>
          </w:tcPr>
          <w:p w14:paraId="2402686B">
            <w:pPr>
              <w:pStyle w:val="17"/>
              <w:bidi w:val="0"/>
            </w:pPr>
            <w:r>
              <w:t>松花江水系</w:t>
            </w:r>
          </w:p>
        </w:tc>
        <w:tc>
          <w:tcPr>
            <w:tcW w:w="2333" w:type="dxa"/>
            <w:noWrap w:val="0"/>
            <w:vAlign w:val="center"/>
          </w:tcPr>
          <w:p w14:paraId="120F4F61">
            <w:pPr>
              <w:pStyle w:val="17"/>
              <w:bidi w:val="0"/>
              <w:rPr>
                <w:rFonts w:hint="eastAsia" w:eastAsia="宋体"/>
                <w:lang w:eastAsia="zh-CN"/>
              </w:rPr>
            </w:pPr>
            <w:r>
              <w:rPr>
                <w:rFonts w:hint="eastAsia"/>
                <w:lang w:val="en-US" w:eastAsia="zh-CN"/>
              </w:rPr>
              <w:t>江源区</w:t>
            </w:r>
          </w:p>
        </w:tc>
        <w:tc>
          <w:tcPr>
            <w:tcW w:w="9749" w:type="dxa"/>
            <w:noWrap w:val="0"/>
            <w:vAlign w:val="center"/>
          </w:tcPr>
          <w:p w14:paraId="0F7B7C48">
            <w:pPr>
              <w:pStyle w:val="17"/>
              <w:bidi w:val="0"/>
            </w:pPr>
            <w:r>
              <w:rPr>
                <w:rFonts w:hint="default"/>
              </w:rPr>
              <w:t>靖宇镇、三道湖镇、花园口镇、龙泉镇、那尔轰镇、景山镇、濛江乡、赤松镇</w:t>
            </w:r>
          </w:p>
        </w:tc>
      </w:tr>
      <w:tr w14:paraId="63EF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372" w:type="dxa"/>
            <w:noWrap w:val="0"/>
            <w:vAlign w:val="center"/>
          </w:tcPr>
          <w:p w14:paraId="7E128C9E">
            <w:pPr>
              <w:pStyle w:val="17"/>
              <w:bidi w:val="0"/>
              <w:rPr>
                <w:rFonts w:hint="eastAsia" w:eastAsia="宋体"/>
                <w:lang w:eastAsia="zh-CN"/>
              </w:rPr>
            </w:pPr>
            <w:r>
              <w:rPr>
                <w:rFonts w:hint="eastAsia"/>
                <w:lang w:val="en-US" w:eastAsia="zh-CN"/>
              </w:rPr>
              <w:t>YLJ</w:t>
            </w:r>
            <w:r>
              <w:rPr>
                <w:rFonts w:hint="eastAsia"/>
                <w:lang w:eastAsia="zh-CN"/>
              </w:rPr>
              <w:t>水系</w:t>
            </w:r>
          </w:p>
        </w:tc>
        <w:tc>
          <w:tcPr>
            <w:tcW w:w="2333" w:type="dxa"/>
            <w:noWrap w:val="0"/>
            <w:vAlign w:val="center"/>
          </w:tcPr>
          <w:p w14:paraId="5AC7A4FE">
            <w:pPr>
              <w:pStyle w:val="17"/>
              <w:bidi w:val="0"/>
            </w:pPr>
            <w:r>
              <w:rPr>
                <w:rFonts w:hint="eastAsia"/>
                <w:lang w:val="en-US" w:eastAsia="zh-CN"/>
              </w:rPr>
              <w:t>江源区</w:t>
            </w:r>
          </w:p>
        </w:tc>
        <w:tc>
          <w:tcPr>
            <w:tcW w:w="9749" w:type="dxa"/>
            <w:noWrap w:val="0"/>
            <w:vAlign w:val="center"/>
          </w:tcPr>
          <w:p w14:paraId="60302E70">
            <w:pPr>
              <w:pStyle w:val="17"/>
              <w:bidi w:val="0"/>
            </w:pPr>
            <w:r>
              <w:rPr>
                <w:rFonts w:hint="default"/>
              </w:rPr>
              <w:t>濛江乡</w:t>
            </w:r>
          </w:p>
        </w:tc>
      </w:tr>
    </w:tbl>
    <w:p w14:paraId="48ED6191">
      <w:pPr>
        <w:bidi w:val="0"/>
      </w:pPr>
    </w:p>
    <w:p w14:paraId="11FC3C05">
      <w:pPr>
        <w:pStyle w:val="16"/>
        <w:bidi w:val="0"/>
        <w:rPr>
          <w:lang w:val="en-US" w:eastAsia="zh-CN"/>
        </w:rPr>
      </w:pPr>
      <w:bookmarkStart w:id="142" w:name="_Toc109652475"/>
      <w:r>
        <w:rPr>
          <w:lang w:val="en-US" w:eastAsia="zh-CN"/>
        </w:rPr>
        <w:t>附表2 “十四五”国控断面水质目标清单</w:t>
      </w:r>
      <w:bookmarkEnd w:id="142"/>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973"/>
        <w:gridCol w:w="1642"/>
        <w:gridCol w:w="2008"/>
        <w:gridCol w:w="1184"/>
        <w:gridCol w:w="1241"/>
        <w:gridCol w:w="2048"/>
        <w:gridCol w:w="2522"/>
      </w:tblGrid>
      <w:tr w14:paraId="775D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08" w:type="pct"/>
            <w:noWrap w:val="0"/>
            <w:vAlign w:val="center"/>
          </w:tcPr>
          <w:p w14:paraId="36740235">
            <w:pPr>
              <w:pStyle w:val="17"/>
              <w:bidi w:val="0"/>
            </w:pPr>
            <w:r>
              <w:t>序号</w:t>
            </w:r>
          </w:p>
        </w:tc>
        <w:tc>
          <w:tcPr>
            <w:tcW w:w="733" w:type="pct"/>
            <w:noWrap w:val="0"/>
            <w:vAlign w:val="center"/>
          </w:tcPr>
          <w:p w14:paraId="59CBF93C">
            <w:pPr>
              <w:pStyle w:val="17"/>
              <w:bidi w:val="0"/>
            </w:pPr>
            <w:r>
              <w:t>断面名称</w:t>
            </w:r>
          </w:p>
        </w:tc>
        <w:tc>
          <w:tcPr>
            <w:tcW w:w="610" w:type="pct"/>
            <w:noWrap w:val="0"/>
            <w:vAlign w:val="center"/>
          </w:tcPr>
          <w:p w14:paraId="74D59CAB">
            <w:pPr>
              <w:pStyle w:val="17"/>
              <w:bidi w:val="0"/>
            </w:pPr>
            <w:r>
              <w:t>所在流域</w:t>
            </w:r>
          </w:p>
        </w:tc>
        <w:tc>
          <w:tcPr>
            <w:tcW w:w="746" w:type="pct"/>
            <w:noWrap w:val="0"/>
            <w:vAlign w:val="center"/>
          </w:tcPr>
          <w:p w14:paraId="25EE2D15">
            <w:pPr>
              <w:pStyle w:val="17"/>
              <w:bidi w:val="0"/>
            </w:pPr>
            <w:r>
              <w:t>所在水体</w:t>
            </w:r>
          </w:p>
        </w:tc>
        <w:tc>
          <w:tcPr>
            <w:tcW w:w="440" w:type="pct"/>
            <w:noWrap w:val="0"/>
            <w:vAlign w:val="center"/>
          </w:tcPr>
          <w:p w14:paraId="4DE10A9C">
            <w:pPr>
              <w:pStyle w:val="17"/>
              <w:bidi w:val="0"/>
            </w:pPr>
            <w:r>
              <w:t>水体类型</w:t>
            </w:r>
          </w:p>
        </w:tc>
        <w:tc>
          <w:tcPr>
            <w:tcW w:w="461" w:type="pct"/>
            <w:noWrap w:val="0"/>
            <w:vAlign w:val="center"/>
          </w:tcPr>
          <w:p w14:paraId="0A6247F4">
            <w:pPr>
              <w:pStyle w:val="17"/>
              <w:bidi w:val="0"/>
            </w:pPr>
            <w:r>
              <w:rPr>
                <w:rFonts w:hint="eastAsia"/>
              </w:rPr>
              <w:t>责任城市</w:t>
            </w:r>
          </w:p>
        </w:tc>
        <w:tc>
          <w:tcPr>
            <w:tcW w:w="761" w:type="pct"/>
            <w:noWrap w:val="0"/>
            <w:vAlign w:val="center"/>
          </w:tcPr>
          <w:p w14:paraId="2315C69B">
            <w:pPr>
              <w:pStyle w:val="17"/>
              <w:bidi w:val="0"/>
            </w:pPr>
            <w:r>
              <w:rPr>
                <w:rFonts w:hint="eastAsia"/>
              </w:rPr>
              <w:t>2025年水质目标</w:t>
            </w:r>
          </w:p>
        </w:tc>
        <w:tc>
          <w:tcPr>
            <w:tcW w:w="937" w:type="pct"/>
            <w:noWrap w:val="0"/>
            <w:vAlign w:val="center"/>
          </w:tcPr>
          <w:p w14:paraId="749F0229">
            <w:pPr>
              <w:pStyle w:val="17"/>
              <w:bidi w:val="0"/>
            </w:pPr>
            <w:r>
              <w:rPr>
                <w:rFonts w:hint="eastAsia"/>
              </w:rPr>
              <w:t>备注</w:t>
            </w:r>
          </w:p>
        </w:tc>
      </w:tr>
      <w:tr w14:paraId="370F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8" w:type="pct"/>
            <w:noWrap/>
            <w:vAlign w:val="center"/>
          </w:tcPr>
          <w:p w14:paraId="55CA5D37">
            <w:pPr>
              <w:pStyle w:val="17"/>
              <w:bidi w:val="0"/>
              <w:rPr>
                <w:rFonts w:hint="default"/>
                <w:lang w:val="en-US" w:eastAsia="zh-CN"/>
              </w:rPr>
            </w:pPr>
            <w:r>
              <w:rPr>
                <w:rFonts w:hint="eastAsia"/>
                <w:lang w:val="en-US" w:eastAsia="zh-CN"/>
              </w:rPr>
              <w:t>1</w:t>
            </w:r>
          </w:p>
        </w:tc>
        <w:tc>
          <w:tcPr>
            <w:tcW w:w="733" w:type="pct"/>
            <w:noWrap/>
            <w:vAlign w:val="center"/>
          </w:tcPr>
          <w:p w14:paraId="6FBB26B7">
            <w:pPr>
              <w:pStyle w:val="17"/>
              <w:bidi w:val="0"/>
            </w:pPr>
            <w:r>
              <w:t>参乡一号桥</w:t>
            </w:r>
          </w:p>
        </w:tc>
        <w:tc>
          <w:tcPr>
            <w:tcW w:w="610" w:type="pct"/>
            <w:noWrap/>
            <w:vAlign w:val="center"/>
          </w:tcPr>
          <w:p w14:paraId="12F03886">
            <w:pPr>
              <w:pStyle w:val="17"/>
              <w:bidi w:val="0"/>
            </w:pPr>
            <w:r>
              <w:t>松花江流域</w:t>
            </w:r>
          </w:p>
        </w:tc>
        <w:tc>
          <w:tcPr>
            <w:tcW w:w="746" w:type="pct"/>
            <w:noWrap/>
            <w:vAlign w:val="center"/>
          </w:tcPr>
          <w:p w14:paraId="1DD7E0E9">
            <w:pPr>
              <w:pStyle w:val="17"/>
              <w:bidi w:val="0"/>
            </w:pPr>
            <w:r>
              <w:t>头道松花江</w:t>
            </w:r>
          </w:p>
        </w:tc>
        <w:tc>
          <w:tcPr>
            <w:tcW w:w="440" w:type="pct"/>
            <w:noWrap/>
            <w:vAlign w:val="center"/>
          </w:tcPr>
          <w:p w14:paraId="6660FB5F">
            <w:pPr>
              <w:pStyle w:val="17"/>
              <w:bidi w:val="0"/>
            </w:pPr>
            <w:r>
              <w:t>河流</w:t>
            </w:r>
          </w:p>
        </w:tc>
        <w:tc>
          <w:tcPr>
            <w:tcW w:w="461" w:type="pct"/>
            <w:noWrap w:val="0"/>
            <w:vAlign w:val="center"/>
          </w:tcPr>
          <w:p w14:paraId="68BECC72">
            <w:pPr>
              <w:pStyle w:val="17"/>
              <w:bidi w:val="0"/>
            </w:pPr>
            <w:r>
              <w:rPr>
                <w:rFonts w:hint="eastAsia"/>
              </w:rPr>
              <w:t>江源区/抚松县</w:t>
            </w:r>
          </w:p>
        </w:tc>
        <w:tc>
          <w:tcPr>
            <w:tcW w:w="761" w:type="pct"/>
            <w:noWrap w:val="0"/>
            <w:vAlign w:val="center"/>
          </w:tcPr>
          <w:p w14:paraId="7D48C218">
            <w:pPr>
              <w:pStyle w:val="17"/>
              <w:bidi w:val="0"/>
            </w:pPr>
            <w:r>
              <w:t>Ⅲ</w:t>
            </w:r>
          </w:p>
        </w:tc>
        <w:tc>
          <w:tcPr>
            <w:tcW w:w="937" w:type="pct"/>
            <w:noWrap w:val="0"/>
            <w:vAlign w:val="center"/>
          </w:tcPr>
          <w:p w14:paraId="1B94A3CA">
            <w:pPr>
              <w:pStyle w:val="17"/>
              <w:bidi w:val="0"/>
            </w:pPr>
            <w:r>
              <w:rPr>
                <w:rFonts w:hint="eastAsia"/>
              </w:rPr>
              <w:t>头道松花江长白山自然保护区/头道松花江抚松县保留区/头道松花江靖宇县、抚松县过渡区</w:t>
            </w:r>
          </w:p>
        </w:tc>
      </w:tr>
      <w:tr w14:paraId="188AF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8" w:type="pct"/>
            <w:noWrap/>
            <w:vAlign w:val="center"/>
          </w:tcPr>
          <w:p w14:paraId="4673DCBE">
            <w:pPr>
              <w:pStyle w:val="17"/>
              <w:bidi w:val="0"/>
              <w:rPr>
                <w:rFonts w:hint="default"/>
                <w:lang w:val="en-US" w:eastAsia="zh-CN"/>
              </w:rPr>
            </w:pPr>
            <w:r>
              <w:rPr>
                <w:rFonts w:hint="eastAsia"/>
                <w:lang w:val="en-US" w:eastAsia="zh-CN"/>
              </w:rPr>
              <w:t>2</w:t>
            </w:r>
          </w:p>
        </w:tc>
        <w:tc>
          <w:tcPr>
            <w:tcW w:w="1973" w:type="dxa"/>
            <w:noWrap/>
            <w:vAlign w:val="center"/>
          </w:tcPr>
          <w:p w14:paraId="4D339DA1">
            <w:pPr>
              <w:pStyle w:val="17"/>
              <w:bidi w:val="0"/>
            </w:pPr>
            <w:r>
              <w:t>大阳岔</w:t>
            </w:r>
          </w:p>
        </w:tc>
        <w:tc>
          <w:tcPr>
            <w:tcW w:w="1642" w:type="dxa"/>
            <w:noWrap/>
            <w:vAlign w:val="center"/>
          </w:tcPr>
          <w:p w14:paraId="0A0D021F">
            <w:pPr>
              <w:pStyle w:val="17"/>
              <w:bidi w:val="0"/>
            </w:pPr>
            <w:r>
              <w:t>辽河流域</w:t>
            </w:r>
          </w:p>
        </w:tc>
        <w:tc>
          <w:tcPr>
            <w:tcW w:w="2008" w:type="dxa"/>
            <w:noWrap/>
            <w:vAlign w:val="center"/>
          </w:tcPr>
          <w:p w14:paraId="344080FA">
            <w:pPr>
              <w:pStyle w:val="17"/>
              <w:bidi w:val="0"/>
            </w:pPr>
            <w:r>
              <w:t>浑江</w:t>
            </w:r>
          </w:p>
        </w:tc>
        <w:tc>
          <w:tcPr>
            <w:tcW w:w="1184" w:type="dxa"/>
            <w:noWrap/>
            <w:vAlign w:val="center"/>
          </w:tcPr>
          <w:p w14:paraId="054D7EFC">
            <w:pPr>
              <w:pStyle w:val="17"/>
              <w:bidi w:val="0"/>
            </w:pPr>
            <w:r>
              <w:t>河流</w:t>
            </w:r>
          </w:p>
        </w:tc>
        <w:tc>
          <w:tcPr>
            <w:tcW w:w="1241" w:type="dxa"/>
            <w:noWrap w:val="0"/>
            <w:vAlign w:val="center"/>
          </w:tcPr>
          <w:p w14:paraId="59E8FED7">
            <w:pPr>
              <w:pStyle w:val="17"/>
              <w:bidi w:val="0"/>
            </w:pPr>
            <w:r>
              <w:rPr>
                <w:rFonts w:hint="eastAsia"/>
              </w:rPr>
              <w:t>江源区</w:t>
            </w:r>
          </w:p>
        </w:tc>
        <w:tc>
          <w:tcPr>
            <w:tcW w:w="2048" w:type="dxa"/>
            <w:noWrap w:val="0"/>
            <w:vAlign w:val="center"/>
          </w:tcPr>
          <w:p w14:paraId="7EFFE7FE">
            <w:pPr>
              <w:pStyle w:val="17"/>
              <w:bidi w:val="0"/>
            </w:pPr>
            <w:r>
              <w:t>Ⅱ</w:t>
            </w:r>
          </w:p>
        </w:tc>
        <w:tc>
          <w:tcPr>
            <w:tcW w:w="2522" w:type="dxa"/>
            <w:noWrap w:val="0"/>
            <w:vAlign w:val="center"/>
          </w:tcPr>
          <w:p w14:paraId="48F29677">
            <w:pPr>
              <w:pStyle w:val="17"/>
              <w:bidi w:val="0"/>
            </w:pPr>
            <w:r>
              <w:rPr>
                <w:rFonts w:hint="eastAsia"/>
              </w:rPr>
              <w:t>—</w:t>
            </w:r>
          </w:p>
        </w:tc>
      </w:tr>
      <w:tr w14:paraId="51041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8" w:type="pct"/>
            <w:noWrap/>
            <w:vAlign w:val="center"/>
          </w:tcPr>
          <w:p w14:paraId="49DBEABE">
            <w:pPr>
              <w:pStyle w:val="17"/>
              <w:bidi w:val="0"/>
              <w:rPr>
                <w:rFonts w:hint="default"/>
                <w:lang w:val="en-US" w:eastAsia="zh-CN"/>
              </w:rPr>
            </w:pPr>
            <w:r>
              <w:rPr>
                <w:rFonts w:hint="eastAsia"/>
                <w:lang w:val="en-US" w:eastAsia="zh-CN"/>
              </w:rPr>
              <w:t>3</w:t>
            </w:r>
          </w:p>
        </w:tc>
        <w:tc>
          <w:tcPr>
            <w:tcW w:w="1973" w:type="dxa"/>
            <w:noWrap/>
            <w:vAlign w:val="center"/>
          </w:tcPr>
          <w:p w14:paraId="62F11710">
            <w:pPr>
              <w:pStyle w:val="17"/>
              <w:bidi w:val="0"/>
            </w:pPr>
            <w:r>
              <w:t>江源（浑）</w:t>
            </w:r>
          </w:p>
        </w:tc>
        <w:tc>
          <w:tcPr>
            <w:tcW w:w="1642" w:type="dxa"/>
            <w:noWrap/>
            <w:vAlign w:val="center"/>
          </w:tcPr>
          <w:p w14:paraId="070B8C62">
            <w:pPr>
              <w:pStyle w:val="17"/>
              <w:bidi w:val="0"/>
            </w:pPr>
            <w:r>
              <w:t>辽河流域</w:t>
            </w:r>
          </w:p>
        </w:tc>
        <w:tc>
          <w:tcPr>
            <w:tcW w:w="2008" w:type="dxa"/>
            <w:noWrap/>
            <w:vAlign w:val="center"/>
          </w:tcPr>
          <w:p w14:paraId="53F0AD58">
            <w:pPr>
              <w:pStyle w:val="17"/>
              <w:bidi w:val="0"/>
            </w:pPr>
            <w:r>
              <w:t>浑江</w:t>
            </w:r>
          </w:p>
        </w:tc>
        <w:tc>
          <w:tcPr>
            <w:tcW w:w="1184" w:type="dxa"/>
            <w:noWrap/>
            <w:vAlign w:val="center"/>
          </w:tcPr>
          <w:p w14:paraId="698B0F06">
            <w:pPr>
              <w:pStyle w:val="17"/>
              <w:bidi w:val="0"/>
            </w:pPr>
            <w:r>
              <w:t>河流</w:t>
            </w:r>
          </w:p>
        </w:tc>
        <w:tc>
          <w:tcPr>
            <w:tcW w:w="1241" w:type="dxa"/>
            <w:noWrap w:val="0"/>
            <w:vAlign w:val="center"/>
          </w:tcPr>
          <w:p w14:paraId="2FEED1E8">
            <w:pPr>
              <w:pStyle w:val="17"/>
              <w:bidi w:val="0"/>
            </w:pPr>
            <w:r>
              <w:rPr>
                <w:rFonts w:hint="eastAsia"/>
              </w:rPr>
              <w:t>江源区</w:t>
            </w:r>
          </w:p>
        </w:tc>
        <w:tc>
          <w:tcPr>
            <w:tcW w:w="2048" w:type="dxa"/>
            <w:noWrap w:val="0"/>
            <w:vAlign w:val="center"/>
          </w:tcPr>
          <w:p w14:paraId="1A5640E0">
            <w:pPr>
              <w:pStyle w:val="17"/>
              <w:bidi w:val="0"/>
            </w:pPr>
            <w:r>
              <w:rPr>
                <w:rFonts w:hint="eastAsia"/>
              </w:rPr>
              <w:t>优于</w:t>
            </w:r>
            <w:r>
              <w:t>Ⅲ</w:t>
            </w:r>
            <w:r>
              <w:rPr>
                <w:rFonts w:hint="eastAsia"/>
              </w:rPr>
              <w:t>类（含）</w:t>
            </w:r>
          </w:p>
        </w:tc>
        <w:tc>
          <w:tcPr>
            <w:tcW w:w="2522" w:type="dxa"/>
            <w:noWrap w:val="0"/>
            <w:vAlign w:val="center"/>
          </w:tcPr>
          <w:p w14:paraId="67FFB3FF">
            <w:pPr>
              <w:pStyle w:val="17"/>
              <w:bidi w:val="0"/>
            </w:pPr>
            <w:r>
              <w:rPr>
                <w:rFonts w:hint="eastAsia"/>
              </w:rPr>
              <w:t>浑江江源县饮用水源区/浑江江源县、白山市工业、农业用水区</w:t>
            </w:r>
          </w:p>
        </w:tc>
      </w:tr>
    </w:tbl>
    <w:p w14:paraId="321C5F3B">
      <w:pPr>
        <w:bidi w:val="0"/>
      </w:pPr>
    </w:p>
    <w:p w14:paraId="69B7A78B">
      <w:pPr>
        <w:pStyle w:val="16"/>
        <w:bidi w:val="0"/>
        <w:rPr>
          <w:lang w:val="en-US" w:eastAsia="zh-CN"/>
        </w:rPr>
      </w:pPr>
      <w:bookmarkStart w:id="143" w:name="_Toc109652476"/>
      <w:r>
        <w:rPr>
          <w:lang w:val="en-US" w:eastAsia="zh-CN"/>
        </w:rPr>
        <w:t>附表3 城市集中式饮用水水源目标清单</w:t>
      </w:r>
      <w:bookmarkEnd w:id="143"/>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384"/>
        <w:gridCol w:w="6571"/>
        <w:gridCol w:w="3723"/>
      </w:tblGrid>
      <w:tr w14:paraId="4868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776" w:type="dxa"/>
            <w:noWrap/>
            <w:vAlign w:val="center"/>
          </w:tcPr>
          <w:p w14:paraId="05219213">
            <w:pPr>
              <w:pStyle w:val="17"/>
              <w:bidi w:val="0"/>
            </w:pPr>
            <w:r>
              <w:t>序号</w:t>
            </w:r>
          </w:p>
        </w:tc>
        <w:tc>
          <w:tcPr>
            <w:tcW w:w="2384" w:type="dxa"/>
            <w:noWrap/>
            <w:vAlign w:val="center"/>
          </w:tcPr>
          <w:p w14:paraId="36ADB636">
            <w:pPr>
              <w:pStyle w:val="17"/>
              <w:bidi w:val="0"/>
            </w:pPr>
            <w:r>
              <w:t>县（区、市）名称</w:t>
            </w:r>
          </w:p>
        </w:tc>
        <w:tc>
          <w:tcPr>
            <w:tcW w:w="6571" w:type="dxa"/>
            <w:noWrap/>
            <w:vAlign w:val="center"/>
          </w:tcPr>
          <w:p w14:paraId="47D02DB1">
            <w:pPr>
              <w:pStyle w:val="17"/>
              <w:bidi w:val="0"/>
            </w:pPr>
            <w:r>
              <w:t>水源地名称</w:t>
            </w:r>
          </w:p>
        </w:tc>
        <w:tc>
          <w:tcPr>
            <w:tcW w:w="3723" w:type="dxa"/>
            <w:noWrap/>
            <w:vAlign w:val="center"/>
          </w:tcPr>
          <w:p w14:paraId="70F65FD7">
            <w:pPr>
              <w:pStyle w:val="17"/>
              <w:bidi w:val="0"/>
            </w:pPr>
            <w:r>
              <w:t>水质类别要求（达到或优于）</w:t>
            </w:r>
          </w:p>
        </w:tc>
      </w:tr>
      <w:tr w14:paraId="00124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6" w:type="dxa"/>
            <w:noWrap/>
            <w:vAlign w:val="center"/>
          </w:tcPr>
          <w:p w14:paraId="4702E67E">
            <w:pPr>
              <w:pStyle w:val="17"/>
              <w:bidi w:val="0"/>
            </w:pPr>
            <w:r>
              <w:t>1</w:t>
            </w:r>
          </w:p>
        </w:tc>
        <w:tc>
          <w:tcPr>
            <w:tcW w:w="2384" w:type="dxa"/>
            <w:noWrap/>
            <w:vAlign w:val="center"/>
          </w:tcPr>
          <w:p w14:paraId="442ACE6C">
            <w:pPr>
              <w:pStyle w:val="17"/>
              <w:bidi w:val="0"/>
            </w:pPr>
            <w:r>
              <w:rPr>
                <w:rFonts w:hint="eastAsia"/>
              </w:rPr>
              <w:t>江源区</w:t>
            </w:r>
          </w:p>
        </w:tc>
        <w:tc>
          <w:tcPr>
            <w:tcW w:w="6571" w:type="dxa"/>
            <w:noWrap/>
            <w:vAlign w:val="center"/>
          </w:tcPr>
          <w:p w14:paraId="48632952">
            <w:pPr>
              <w:pStyle w:val="17"/>
              <w:bidi w:val="0"/>
            </w:pPr>
            <w:r>
              <w:rPr>
                <w:rFonts w:hint="eastAsia"/>
              </w:rPr>
              <w:t>大阳岔河生活饮用水水源</w:t>
            </w:r>
          </w:p>
        </w:tc>
        <w:tc>
          <w:tcPr>
            <w:tcW w:w="3723" w:type="dxa"/>
            <w:noWrap w:val="0"/>
            <w:vAlign w:val="center"/>
          </w:tcPr>
          <w:p w14:paraId="3C183C7A">
            <w:pPr>
              <w:pStyle w:val="17"/>
              <w:bidi w:val="0"/>
            </w:pPr>
            <w:r>
              <w:t>Ⅲ类</w:t>
            </w:r>
          </w:p>
        </w:tc>
      </w:tr>
    </w:tbl>
    <w:p w14:paraId="36DDFB3F">
      <w:pPr>
        <w:bidi w:val="0"/>
      </w:pPr>
    </w:p>
    <w:p w14:paraId="65B4E1E0">
      <w:pPr>
        <w:bidi w:val="0"/>
        <w:rPr>
          <w:lang w:val="en-US" w:eastAsia="zh-CN"/>
        </w:rPr>
      </w:pPr>
      <w:bookmarkStart w:id="144" w:name="_Toc109652478"/>
    </w:p>
    <w:bookmarkEnd w:id="144"/>
    <w:p w14:paraId="6286747B">
      <w:pPr>
        <w:kinsoku/>
        <w:wordWrap/>
        <w:topLinePunct w:val="0"/>
        <w:autoSpaceDE/>
        <w:autoSpaceDN/>
        <w:bidi w:val="0"/>
        <w:adjustRightInd/>
        <w:snapToGrid/>
        <w:spacing w:line="360" w:lineRule="auto"/>
        <w:ind w:left="0" w:leftChars="0" w:right="0" w:rightChars="0" w:firstLine="640"/>
        <w:textAlignment w:val="auto"/>
        <w:rPr>
          <w:rFonts w:hint="eastAsia" w:ascii="Times New Roman" w:hAnsi="Times New Roman" w:eastAsia="宋体" w:cs="Times New Roman"/>
          <w:color w:val="auto"/>
          <w:sz w:val="24"/>
          <w:szCs w:val="24"/>
          <w:lang w:eastAsia="zh-CN"/>
        </w:rPr>
      </w:pPr>
    </w:p>
    <w:p w14:paraId="5688A5E5">
      <w:pPr>
        <w:kinsoku/>
        <w:wordWrap/>
        <w:topLinePunct w:val="0"/>
        <w:autoSpaceDE/>
        <w:autoSpaceDN/>
        <w:bidi w:val="0"/>
        <w:adjustRightInd/>
        <w:snapToGrid/>
        <w:spacing w:line="360" w:lineRule="auto"/>
        <w:ind w:firstLine="640"/>
        <w:textAlignment w:val="auto"/>
        <w:rPr>
          <w:rFonts w:hint="default" w:ascii="Times New Roman" w:hAnsi="Times New Roman" w:eastAsia="宋体" w:cs="Times New Roman"/>
          <w:color w:val="auto"/>
          <w:sz w:val="24"/>
          <w:szCs w:val="24"/>
        </w:rPr>
      </w:pPr>
    </w:p>
    <w:p w14:paraId="1A02D04C">
      <w:pPr>
        <w:bidi w:val="0"/>
        <w:rPr>
          <w:rFonts w:hint="default" w:ascii="Times New Roman" w:hAnsi="Times New Roman" w:eastAsia="宋体" w:cs="Times New Roman"/>
          <w:kern w:val="2"/>
          <w:sz w:val="24"/>
          <w:szCs w:val="24"/>
          <w:lang w:val="en-US" w:eastAsia="zh-CN" w:bidi="ar-SA"/>
        </w:rPr>
      </w:pPr>
    </w:p>
    <w:p w14:paraId="2BB32E62">
      <w:pPr>
        <w:tabs>
          <w:tab w:val="left" w:pos="9184"/>
        </w:tabs>
        <w:bidi w:val="0"/>
        <w:jc w:val="left"/>
        <w:rPr>
          <w:rFonts w:hint="default"/>
          <w:lang w:val="en-US" w:eastAsia="zh-CN"/>
        </w:rPr>
      </w:pPr>
      <w:r>
        <w:rPr>
          <w:rFonts w:hint="eastAsia"/>
          <w:lang w:val="en-US" w:eastAsia="zh-CN"/>
        </w:rPr>
        <w:tab/>
      </w:r>
    </w:p>
    <w:sectPr>
      <w:pgSz w:w="16838" w:h="11906" w:orient="landscape"/>
      <w:pgMar w:top="1440" w:right="1800" w:bottom="1440" w:left="1800" w:header="851" w:footer="992" w:gutter="0"/>
      <w:pgNumType w:fmt="numberInDash"/>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FD57C">
    <w:pPr>
      <w:tabs>
        <w:tab w:val="center" w:pos="4153"/>
        <w:tab w:val="right" w:pos="8306"/>
      </w:tabs>
      <w:jc w:val="center"/>
    </w:pPr>
  </w:p>
  <w:p w14:paraId="6C9F105E">
    <w:pPr>
      <w:tabs>
        <w:tab w:val="center" w:pos="4153"/>
        <w:tab w:val="right" w:pos="8306"/>
      </w:tabs>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3BE0B">
    <w:pPr>
      <w:tabs>
        <w:tab w:val="center" w:pos="4153"/>
        <w:tab w:val="right" w:pos="8306"/>
      </w:tabs>
      <w:jc w:val="cente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97CD1F">
                          <w:pPr>
                            <w:pStyle w:val="9"/>
                            <w:ind w:left="0" w:leftChars="0" w:firstLine="0" w:firstLineChars="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- 6 -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097CD1F">
                    <w:pPr>
                      <w:pStyle w:val="9"/>
                      <w:ind w:left="0" w:leftChars="0" w:firstLine="0" w:firstLineChars="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- 6 -</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04A3D">
    <w:pPr>
      <w:tabs>
        <w:tab w:val="center" w:pos="4153"/>
        <w:tab w:val="right" w:pos="8306"/>
      </w:tabs>
      <w:ind w:firstLine="360"/>
      <w:jc w:val="cente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DE5073">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- 30 -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BDE5073">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- 30 -</w:t>
                    </w:r>
                    <w:r>
                      <w:rPr>
                        <w:rFonts w:hint="eastAsia"/>
                        <w:lang w:eastAsia="zh-CN"/>
                      </w:rPr>
                      <w:fldChar w:fldCharType="end"/>
                    </w:r>
                  </w:p>
                </w:txbxContent>
              </v:textbox>
            </v:shape>
          </w:pict>
        </mc:Fallback>
      </mc:AlternateContent>
    </w:r>
  </w:p>
  <w:p w14:paraId="7C9BFD5F">
    <w:pPr>
      <w:tabs>
        <w:tab w:val="center" w:pos="4153"/>
        <w:tab w:val="right" w:pos="8306"/>
      </w:tabs>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DEEE9">
    <w:pPr>
      <w:tabs>
        <w:tab w:val="center" w:pos="4153"/>
        <w:tab w:val="right" w:pos="8306"/>
      </w:tabs>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31C5B">
    <w:pPr>
      <w:tabs>
        <w:tab w:val="center" w:pos="4153"/>
        <w:tab w:val="right" w:pos="8306"/>
      </w:tabs>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A4297">
    <w:pPr>
      <w:tabs>
        <w:tab w:val="center" w:pos="4153"/>
        <w:tab w:val="right" w:pos="8306"/>
      </w:tabs>
      <w:jc w:val="cente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ECA96">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- 32 -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A5ECA96">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- 32 -</w:t>
                    </w:r>
                    <w:r>
                      <w:rPr>
                        <w:rFonts w:hint="eastAsia"/>
                        <w:lang w:eastAsia="zh-CN"/>
                      </w:rPr>
                      <w:fldChar w:fldCharType="end"/>
                    </w:r>
                  </w:p>
                </w:txbxContent>
              </v:textbox>
            </v:shape>
          </w:pict>
        </mc:Fallback>
      </mc:AlternateContent>
    </w:r>
  </w:p>
  <w:p w14:paraId="769CA98B">
    <w:pPr>
      <w:tabs>
        <w:tab w:val="center" w:pos="4153"/>
        <w:tab w:val="right" w:pos="8306"/>
      </w:tabs>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BEA3C">
    <w:pPr>
      <w:tabs>
        <w:tab w:val="center" w:pos="4153"/>
        <w:tab w:val="right" w:pos="8306"/>
      </w:tabs>
      <w:ind w:firstLine="360"/>
      <w:jc w:val="center"/>
      <w:rPr>
        <w:rFonts w:hint="eastAsia"/>
        <w:lang w:eastAsia="zh-CN"/>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0DEF8B">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- 35 -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00DEF8B">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- 35 -</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732A4">
    <w:pPr>
      <w:keepNext w:val="0"/>
      <w:keepLines w:val="0"/>
      <w:pageBreakBefore w:val="0"/>
      <w:widowControl w:val="0"/>
      <w:pBdr>
        <w:bottom w:val="none" w:color="auto" w:sz="0" w:space="0"/>
      </w:pBdr>
      <w:kinsoku/>
      <w:wordWrap/>
      <w:overflowPunct/>
      <w:topLinePunct w:val="0"/>
      <w:autoSpaceDE/>
      <w:autoSpaceDN/>
      <w:bidi w:val="0"/>
      <w:adjustRightInd/>
      <w:snapToGrid/>
      <w:ind w:firstLine="0" w:firstLineChars="0"/>
      <w:jc w:val="center"/>
      <w:textAlignment w:val="auto"/>
      <w:rPr>
        <w:rFonts w:hint="eastAsia" w:ascii="仿宋" w:hAnsi="仿宋" w:eastAsia="仿宋" w:cs="仿宋"/>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AECD3">
    <w:pPr>
      <w:ind w:left="6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95733">
    <w:pPr>
      <w:tabs>
        <w:tab w:val="center" w:pos="4153"/>
        <w:tab w:val="right" w:pos="8306"/>
      </w:tabs>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ABD0">
    <w:pPr>
      <w:tabs>
        <w:tab w:val="center" w:pos="4153"/>
        <w:tab w:val="right" w:pos="8306"/>
      </w:tabs>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3B653">
    <w:pPr>
      <w:ind w:left="6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6E45E8"/>
    <w:multiLevelType w:val="multilevel"/>
    <w:tmpl w:val="8E6E45E8"/>
    <w:lvl w:ilvl="0" w:tentative="0">
      <w:start w:val="1"/>
      <w:numFmt w:val="chineseCounting"/>
      <w:pStyle w:val="2"/>
      <w:suff w:val="space"/>
      <w:lvlText w:val="第%1章"/>
      <w:lvlJc w:val="left"/>
      <w:pPr>
        <w:tabs>
          <w:tab w:val="left" w:pos="0"/>
        </w:tabs>
        <w:ind w:left="0" w:firstLine="0"/>
      </w:pPr>
      <w:rPr>
        <w:rFonts w:hint="eastAsia" w:ascii="Times New Roman" w:hAnsi="Times New Roman" w:eastAsia="宋体" w:cs="宋体"/>
      </w:rPr>
    </w:lvl>
    <w:lvl w:ilvl="1" w:tentative="0">
      <w:start w:val="1"/>
      <w:numFmt w:val="decimal"/>
      <w:pStyle w:val="3"/>
      <w:isLgl/>
      <w:suff w:val="space"/>
      <w:lvlText w:val="%1.%2"/>
      <w:lvlJc w:val="left"/>
      <w:pPr>
        <w:tabs>
          <w:tab w:val="left" w:pos="0"/>
        </w:tabs>
        <w:ind w:left="0" w:firstLine="0"/>
      </w:pPr>
      <w:rPr>
        <w:rFonts w:hint="eastAsia" w:ascii="Times New Roman" w:hAnsi="Times New Roman" w:eastAsia="宋体" w:cs="宋体"/>
      </w:rPr>
    </w:lvl>
    <w:lvl w:ilvl="2" w:tentative="0">
      <w:start w:val="1"/>
      <w:numFmt w:val="decimal"/>
      <w:pStyle w:val="4"/>
      <w:isLgl/>
      <w:suff w:val="space"/>
      <w:lvlText w:val="%1.%2.%3"/>
      <w:lvlJc w:val="left"/>
      <w:pPr>
        <w:tabs>
          <w:tab w:val="left" w:pos="0"/>
        </w:tabs>
        <w:ind w:left="0" w:firstLine="0"/>
      </w:pPr>
      <w:rPr>
        <w:rFonts w:hint="eastAsia" w:ascii="Times New Roman" w:hAnsi="Times New Roman" w:eastAsia="宋体" w:cs="宋体"/>
      </w:rPr>
    </w:lvl>
    <w:lvl w:ilvl="3" w:tentative="0">
      <w:start w:val="1"/>
      <w:numFmt w:val="decimal"/>
      <w:pStyle w:val="5"/>
      <w:isLgl/>
      <w:suff w:val="space"/>
      <w:lvlText w:val="%1.%2.%3.%4"/>
      <w:lvlJc w:val="left"/>
      <w:pPr>
        <w:ind w:left="0" w:firstLine="0"/>
      </w:pPr>
      <w:rPr>
        <w:rFonts w:hint="eastAsia" w:ascii="Times New Roman" w:hAnsi="Times New Roman" w:eastAsia="宋体" w:cs="宋体"/>
      </w:rPr>
    </w:lvl>
    <w:lvl w:ilvl="4" w:tentative="0">
      <w:start w:val="1"/>
      <w:numFmt w:val="decimal"/>
      <w:isLgl/>
      <w:suff w:val="space"/>
      <w:lvlText w:val="%1.%2.%3.%4.%5"/>
      <w:lvlJc w:val="left"/>
      <w:pPr>
        <w:ind w:left="0" w:firstLine="0"/>
      </w:pPr>
      <w:rPr>
        <w:rFonts w:hint="eastAsia" w:ascii="Times New Roman" w:hAnsi="Times New Roman" w:eastAsia="宋体" w:cs="宋体"/>
      </w:rPr>
    </w:lvl>
    <w:lvl w:ilvl="5" w:tentative="0">
      <w:start w:val="1"/>
      <w:numFmt w:val="decimal"/>
      <w:isLgl/>
      <w:suff w:val="space"/>
      <w:lvlText w:val="%1.%2.%3.%4.%5.%6"/>
      <w:lvlJc w:val="left"/>
      <w:pPr>
        <w:ind w:left="0" w:firstLine="0"/>
      </w:pPr>
      <w:rPr>
        <w:rFonts w:hint="eastAsia" w:ascii="Times New Roman" w:hAnsi="Times New Roman" w:eastAsia="宋体" w:cs="宋体"/>
      </w:rPr>
    </w:lvl>
    <w:lvl w:ilvl="6" w:tentative="0">
      <w:start w:val="1"/>
      <w:numFmt w:val="decimal"/>
      <w:isLgl/>
      <w:suff w:val="space"/>
      <w:lvlText w:val="%1.%2.%3.%4.%5.%6.%7"/>
      <w:lvlJc w:val="left"/>
      <w:pPr>
        <w:ind w:left="0" w:firstLine="0"/>
      </w:pPr>
      <w:rPr>
        <w:rFonts w:hint="eastAsia" w:ascii="Times New Roman" w:hAnsi="Times New Roman" w:eastAsia="宋体" w:cs="宋体"/>
      </w:rPr>
    </w:lvl>
    <w:lvl w:ilvl="7" w:tentative="0">
      <w:start w:val="1"/>
      <w:numFmt w:val="decimal"/>
      <w:isLgl/>
      <w:suff w:val="space"/>
      <w:lvlText w:val="%1.%2.%3.%4.%5.%6.%7.%8"/>
      <w:lvlJc w:val="left"/>
      <w:pPr>
        <w:ind w:left="0" w:firstLine="0"/>
      </w:pPr>
      <w:rPr>
        <w:rFonts w:hint="eastAsia" w:ascii="Times New Roman" w:hAnsi="Times New Roman" w:eastAsia="宋体" w:cs="宋体"/>
      </w:rPr>
    </w:lvl>
    <w:lvl w:ilvl="8" w:tentative="0">
      <w:start w:val="1"/>
      <w:numFmt w:val="decimal"/>
      <w:isLgl/>
      <w:suff w:val="space"/>
      <w:lvlText w:val="%1.%2.%3.%4.%5.%6.%7.%8.%9"/>
      <w:lvlJc w:val="left"/>
      <w:pPr>
        <w:ind w:left="0" w:firstLine="0"/>
      </w:pPr>
      <w:rPr>
        <w:rFonts w:hint="eastAsia" w:ascii="Times New Roman" w:hAnsi="Times New Roman" w:eastAsia="宋体" w:cs="宋体"/>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66"/>
  <w:displayHorizontalDrawingGridEvery w:val="1"/>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820704"/>
    <w:rsid w:val="01B70DB9"/>
    <w:rsid w:val="027D5698"/>
    <w:rsid w:val="04201EE2"/>
    <w:rsid w:val="04F161F7"/>
    <w:rsid w:val="08517B42"/>
    <w:rsid w:val="0A3946EA"/>
    <w:rsid w:val="0C70347F"/>
    <w:rsid w:val="0D8D745C"/>
    <w:rsid w:val="0EC50F31"/>
    <w:rsid w:val="107F4EFA"/>
    <w:rsid w:val="10A74615"/>
    <w:rsid w:val="11717053"/>
    <w:rsid w:val="11E066F1"/>
    <w:rsid w:val="121D1EC5"/>
    <w:rsid w:val="127A7FC3"/>
    <w:rsid w:val="13E41BB6"/>
    <w:rsid w:val="15B51322"/>
    <w:rsid w:val="1D8E3F31"/>
    <w:rsid w:val="1DDB6832"/>
    <w:rsid w:val="21827C1F"/>
    <w:rsid w:val="229D677C"/>
    <w:rsid w:val="26DA23F9"/>
    <w:rsid w:val="28E67649"/>
    <w:rsid w:val="30417815"/>
    <w:rsid w:val="31471799"/>
    <w:rsid w:val="31960298"/>
    <w:rsid w:val="32F7224F"/>
    <w:rsid w:val="33820704"/>
    <w:rsid w:val="368973D4"/>
    <w:rsid w:val="36ED1273"/>
    <w:rsid w:val="39A14C9E"/>
    <w:rsid w:val="3A5637EA"/>
    <w:rsid w:val="3AD24107"/>
    <w:rsid w:val="3AD3490C"/>
    <w:rsid w:val="3B386CA5"/>
    <w:rsid w:val="3B7D5806"/>
    <w:rsid w:val="42B5019D"/>
    <w:rsid w:val="45605672"/>
    <w:rsid w:val="48033308"/>
    <w:rsid w:val="497E1999"/>
    <w:rsid w:val="4AF8757D"/>
    <w:rsid w:val="4CB271EB"/>
    <w:rsid w:val="4D0C34DE"/>
    <w:rsid w:val="4DAA572D"/>
    <w:rsid w:val="4FB315C1"/>
    <w:rsid w:val="503B3ECB"/>
    <w:rsid w:val="519322BF"/>
    <w:rsid w:val="55C1338B"/>
    <w:rsid w:val="58662122"/>
    <w:rsid w:val="58AD778D"/>
    <w:rsid w:val="5A6D35D0"/>
    <w:rsid w:val="5E353507"/>
    <w:rsid w:val="6072630A"/>
    <w:rsid w:val="63B814A6"/>
    <w:rsid w:val="65E93BE2"/>
    <w:rsid w:val="660E23B9"/>
    <w:rsid w:val="67341A4B"/>
    <w:rsid w:val="67CC0AC5"/>
    <w:rsid w:val="6CA63036"/>
    <w:rsid w:val="6E3063FF"/>
    <w:rsid w:val="6EE85DA3"/>
    <w:rsid w:val="6F3D4EA6"/>
    <w:rsid w:val="70F65168"/>
    <w:rsid w:val="7359275A"/>
    <w:rsid w:val="73642281"/>
    <w:rsid w:val="748A10F1"/>
    <w:rsid w:val="75DB355E"/>
    <w:rsid w:val="7A252EA7"/>
    <w:rsid w:val="7A4E3741"/>
    <w:rsid w:val="7B3B6CE6"/>
    <w:rsid w:val="7CA052A0"/>
    <w:rsid w:val="7EA84A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numPr>
        <w:ilvl w:val="0"/>
        <w:numId w:val="1"/>
      </w:numPr>
      <w:spacing w:before="340" w:after="330" w:line="579" w:lineRule="auto"/>
      <w:ind w:firstLine="0" w:firstLineChars="0"/>
      <w:jc w:val="center"/>
      <w:outlineLvl w:val="0"/>
    </w:pPr>
    <w:rPr>
      <w:rFonts w:ascii="Times New Roman" w:hAnsi="Times New Roman" w:eastAsia="宋体"/>
      <w:b/>
      <w:bCs/>
      <w:kern w:val="44"/>
      <w:sz w:val="44"/>
      <w:szCs w:val="44"/>
    </w:rPr>
  </w:style>
  <w:style w:type="paragraph" w:styleId="3">
    <w:name w:val="heading 2"/>
    <w:basedOn w:val="1"/>
    <w:next w:val="1"/>
    <w:qFormat/>
    <w:uiPriority w:val="0"/>
    <w:pPr>
      <w:keepNext/>
      <w:keepLines/>
      <w:numPr>
        <w:ilvl w:val="1"/>
        <w:numId w:val="1"/>
      </w:numPr>
      <w:spacing w:before="260" w:after="260" w:line="416" w:lineRule="auto"/>
      <w:ind w:firstLine="0" w:firstLineChars="0"/>
      <w:jc w:val="left"/>
      <w:outlineLvl w:val="1"/>
    </w:pPr>
    <w:rPr>
      <w:rFonts w:ascii="Times New Roman" w:hAnsi="Times New Roman" w:eastAsia="宋体"/>
      <w:b/>
      <w:bCs/>
      <w:sz w:val="32"/>
      <w:szCs w:val="32"/>
    </w:rPr>
  </w:style>
  <w:style w:type="paragraph" w:styleId="4">
    <w:name w:val="heading 3"/>
    <w:basedOn w:val="1"/>
    <w:next w:val="1"/>
    <w:qFormat/>
    <w:uiPriority w:val="0"/>
    <w:pPr>
      <w:keepNext/>
      <w:keepLines/>
      <w:numPr>
        <w:ilvl w:val="2"/>
        <w:numId w:val="1"/>
      </w:numPr>
      <w:spacing w:before="260" w:after="260" w:line="416" w:lineRule="auto"/>
      <w:ind w:firstLine="0" w:firstLineChars="0"/>
      <w:outlineLvl w:val="2"/>
    </w:pPr>
    <w:rPr>
      <w:rFonts w:ascii="Times New Roman" w:hAnsi="Times New Roman"/>
      <w:b/>
      <w:bCs/>
      <w:sz w:val="28"/>
      <w:szCs w:val="32"/>
    </w:rPr>
  </w:style>
  <w:style w:type="paragraph" w:styleId="5">
    <w:name w:val="heading 4"/>
    <w:basedOn w:val="1"/>
    <w:next w:val="1"/>
    <w:qFormat/>
    <w:uiPriority w:val="0"/>
    <w:pPr>
      <w:keepNext/>
      <w:keepLines/>
      <w:numPr>
        <w:ilvl w:val="3"/>
        <w:numId w:val="1"/>
      </w:numPr>
      <w:spacing w:before="280" w:after="290" w:line="360" w:lineRule="auto"/>
      <w:ind w:firstLine="0" w:firstLineChars="0"/>
      <w:outlineLvl w:val="3"/>
    </w:pPr>
    <w:rPr>
      <w:rFonts w:ascii="Times New Roman" w:hAnsi="Times New Roman" w:eastAsia="宋体"/>
      <w:b/>
      <w:bCs/>
      <w:sz w:val="24"/>
      <w:szCs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7">
    <w:name w:val="Body Text Indent"/>
    <w:basedOn w:val="1"/>
    <w:qFormat/>
    <w:uiPriority w:val="0"/>
    <w:pPr>
      <w:spacing w:after="120" w:afterLines="0" w:afterAutospacing="0"/>
      <w:ind w:left="420" w:leftChars="200"/>
    </w:pPr>
  </w:style>
  <w:style w:type="paragraph" w:styleId="8">
    <w:name w:val="toc 3"/>
    <w:basedOn w:val="1"/>
    <w:next w:val="1"/>
    <w:qFormat/>
    <w:uiPriority w:val="0"/>
    <w:pPr>
      <w:ind w:left="840" w:leftChars="400" w:firstLine="0" w:firstLineChars="0"/>
    </w:pPr>
  </w:style>
  <w:style w:type="paragraph" w:styleId="9">
    <w:name w:val="footer"/>
    <w:basedOn w:val="1"/>
    <w:qFormat/>
    <w:uiPriority w:val="0"/>
    <w:pPr>
      <w:tabs>
        <w:tab w:val="center" w:pos="4153"/>
        <w:tab w:val="right" w:pos="8306"/>
      </w:tabs>
      <w:snapToGrid w:val="0"/>
      <w:ind w:firstLine="0" w:firstLineChars="0"/>
      <w:jc w:val="left"/>
    </w:pPr>
    <w:rPr>
      <w:rFonts w:ascii="Times New Roman" w:hAnsi="Times New Roman" w:eastAsia="宋体"/>
      <w:sz w:val="18"/>
    </w:rPr>
  </w:style>
  <w:style w:type="paragraph" w:styleId="10">
    <w:name w:val="toc 1"/>
    <w:basedOn w:val="1"/>
    <w:next w:val="1"/>
    <w:qFormat/>
    <w:uiPriority w:val="0"/>
    <w:pPr>
      <w:ind w:firstLine="0" w:firstLineChars="0"/>
    </w:pPr>
  </w:style>
  <w:style w:type="paragraph" w:styleId="11">
    <w:name w:val="toc 2"/>
    <w:basedOn w:val="1"/>
    <w:next w:val="1"/>
    <w:qFormat/>
    <w:uiPriority w:val="0"/>
    <w:pPr>
      <w:ind w:left="420" w:leftChars="200" w:firstLine="0" w:firstLineChars="0"/>
    </w:pPr>
  </w:style>
  <w:style w:type="paragraph" w:styleId="12">
    <w:name w:val="Title"/>
    <w:basedOn w:val="1"/>
    <w:next w:val="1"/>
    <w:qFormat/>
    <w:uiPriority w:val="0"/>
    <w:rPr>
      <w:rFonts w:ascii="Times New Roman" w:hAnsi="Times New Roman" w:eastAsia="仿宋"/>
      <w:bCs/>
      <w:szCs w:val="32"/>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图和表头"/>
    <w:basedOn w:val="1"/>
    <w:next w:val="1"/>
    <w:qFormat/>
    <w:uiPriority w:val="0"/>
    <w:pPr>
      <w:snapToGrid w:val="0"/>
      <w:spacing w:line="240" w:lineRule="auto"/>
      <w:ind w:firstLine="0" w:firstLineChars="0"/>
      <w:jc w:val="center"/>
    </w:pPr>
    <w:rPr>
      <w:rFonts w:hint="eastAsia" w:ascii="Times New Roman" w:hAnsi="Times New Roman" w:cs="宋体"/>
      <w:b/>
      <w:color w:val="auto"/>
      <w:kern w:val="0"/>
    </w:rPr>
  </w:style>
  <w:style w:type="paragraph" w:customStyle="1" w:styleId="17">
    <w:name w:val="表"/>
    <w:basedOn w:val="1"/>
    <w:qFormat/>
    <w:uiPriority w:val="0"/>
    <w:pPr>
      <w:widowControl/>
      <w:snapToGrid w:val="0"/>
      <w:spacing w:line="240" w:lineRule="auto"/>
      <w:ind w:firstLine="0" w:firstLineChars="0"/>
      <w:jc w:val="center"/>
    </w:pPr>
    <w:rPr>
      <w:rFonts w:hint="eastAsia" w:ascii="Times New Roman" w:hAnsi="Times New Roman" w:cs="宋体"/>
      <w:color w:val="auto"/>
      <w:kern w:val="0"/>
      <w:sz w:val="21"/>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6.jpe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Pages>
  <Words>1296</Words>
  <Characters>1559</Characters>
  <Lines>0</Lines>
  <Paragraphs>0</Paragraphs>
  <TotalTime>7</TotalTime>
  <ScaleCrop>false</ScaleCrop>
  <LinksUpToDate>false</LinksUpToDate>
  <CharactersWithSpaces>1966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2024-04-16T10:59:00Z</dcterms:created>
  <dc:creator>Administrator</dc:creator>
  <cp:lastModifiedBy>Administrator</cp:lastModifiedBy>
  <dcterms:modified xsi:type="dcterms:W3CDTF">2024-12-03T05:39:15Z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5CDE365CC7D34402B1F3A31E86E89F09_13</vt:lpwstr>
  </property>
</Properties>
</file>