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18" w:rightChars="-37"/>
        <w:jc w:val="center"/>
        <w:rPr>
          <w:rFonts w:hint="eastAsia" w:ascii="文星标宋" w:hAnsi="华文中宋" w:eastAsia="文星标宋"/>
          <w:b/>
          <w:color w:val="000000"/>
          <w:spacing w:val="20"/>
          <w:sz w:val="36"/>
          <w:szCs w:val="36"/>
        </w:rPr>
      </w:pPr>
      <w:r>
        <w:rPr>
          <w:rFonts w:hint="eastAsia" w:ascii="文星标宋" w:hAnsi="华文中宋" w:eastAsia="文星标宋"/>
          <w:b/>
          <w:color w:val="000000"/>
          <w:spacing w:val="20"/>
          <w:sz w:val="36"/>
          <w:szCs w:val="36"/>
        </w:rPr>
        <w:t>行政处罚决定书</w:t>
      </w:r>
    </w:p>
    <w:p>
      <w:pPr>
        <w:spacing w:line="360" w:lineRule="auto"/>
        <w:ind w:right="-118" w:rightChars="-37"/>
        <w:jc w:val="center"/>
        <w:rPr>
          <w:rFonts w:hint="eastAsia" w:ascii="文星标宋" w:hAnsi="华文中宋" w:eastAsia="文星标宋"/>
          <w:b/>
          <w:color w:val="000000"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48"/>
          <w:szCs w:val="48"/>
          <w:lang w:eastAsia="zh-CN"/>
        </w:rPr>
        <w:t>（模板）</w:t>
      </w:r>
    </w:p>
    <w:p>
      <w:pPr>
        <w:wordWrap w:val="0"/>
        <w:adjustRightInd w:val="0"/>
        <w:snapToGrid w:val="0"/>
        <w:spacing w:line="600" w:lineRule="exact"/>
        <w:ind w:firstLine="4320" w:firstLineChars="1800"/>
        <w:jc w:val="righ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（    ）文罚字〔    〕第    号</w:t>
      </w:r>
    </w:p>
    <w:p>
      <w:pPr>
        <w:spacing w:line="500" w:lineRule="exact"/>
        <w:ind w:right="-118" w:rightChars="-37"/>
        <w:rPr>
          <w:rFonts w:hint="eastAsia" w:ascii="仿宋_GB2312" w:hAnsi="宋体" w:eastAsia="仿宋_GB2312"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当事人：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</w:t>
      </w:r>
    </w:p>
    <w:p>
      <w:pPr>
        <w:spacing w:line="500" w:lineRule="exact"/>
        <w:ind w:right="-118" w:rightChars="-37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证照（证件）名称及编号（号码）</w:t>
      </w:r>
      <w:r>
        <w:rPr>
          <w:rFonts w:hint="eastAsia" w:ascii="仿宋_GB2312" w:hAnsi="宋体" w:eastAsia="仿宋_GB2312"/>
          <w:bCs/>
          <w:color w:val="000000"/>
          <w:sz w:val="24"/>
        </w:rPr>
        <w:t>：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</w:t>
      </w:r>
    </w:p>
    <w:p>
      <w:pPr>
        <w:spacing w:line="500" w:lineRule="exact"/>
        <w:ind w:right="-118" w:rightChars="-37"/>
        <w:rPr>
          <w:rFonts w:hint="eastAsia" w:ascii="仿宋_GB2312" w:hAnsi="宋体" w:eastAsia="仿宋_GB2312"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法定代表人或负责人：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</w:t>
      </w:r>
    </w:p>
    <w:p>
      <w:pPr>
        <w:spacing w:line="500" w:lineRule="exact"/>
        <w:ind w:right="-118" w:rightChars="-37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Cs/>
          <w:color w:val="000000"/>
          <w:spacing w:val="30"/>
          <w:kern w:val="0"/>
          <w:sz w:val="24"/>
        </w:rPr>
        <w:t>住所（住址）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：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</w:rPr>
        <w:t>（违法事实和证据）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</w:rPr>
        <w:t>（处罚理由和依据）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</w:rPr>
        <w:t>（处罚内容）</w:t>
      </w: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</w:t>
      </w:r>
    </w:p>
    <w:p>
      <w:pPr>
        <w:spacing w:line="440" w:lineRule="exact"/>
        <w:rPr>
          <w:rFonts w:hint="eastAsia" w:ascii="仿宋_GB2312" w:eastAsia="仿宋_GB2312"/>
          <w:sz w:val="24"/>
          <w:szCs w:val="32"/>
          <w:u w:val="single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           </w:t>
      </w:r>
    </w:p>
    <w:p>
      <w:pPr>
        <w:adjustRightInd w:val="0"/>
        <w:snapToGrid w:val="0"/>
        <w:spacing w:line="440" w:lineRule="exact"/>
        <w:ind w:right="-118" w:rightChars="-37" w:firstLine="480" w:firstLineChars="200"/>
        <w:rPr>
          <w:rFonts w:hint="eastAsia" w:ascii="仿宋_GB2312" w:hAnsi="宋体" w:eastAsia="仿宋_GB2312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</w:rPr>
        <w:t>你（单位）应当自收到本决定书之日起十五日内，到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                </w:t>
      </w:r>
    </w:p>
    <w:p>
      <w:pPr>
        <w:adjustRightInd w:val="0"/>
        <w:snapToGrid w:val="0"/>
        <w:spacing w:line="440" w:lineRule="exact"/>
        <w:ind w:right="-118" w:rightChars="-37"/>
        <w:rPr>
          <w:rFonts w:hint="eastAsia" w:ascii="仿宋_GB2312" w:hAnsi="宋体" w:eastAsia="仿宋_GB2312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24"/>
        </w:rPr>
        <w:t>银行缴纳罚款。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zh-CN"/>
        </w:rPr>
        <w:t>逾期不缴纳罚款的，依据《行政处罚法》第五十一条第（一）项的规定，本机关可每日按罚款数额的百分之三加处罚款。</w:t>
      </w:r>
    </w:p>
    <w:p>
      <w:pPr>
        <w:adjustRightInd w:val="0"/>
        <w:snapToGrid w:val="0"/>
        <w:spacing w:line="440" w:lineRule="exact"/>
        <w:ind w:right="-118" w:rightChars="-37"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你（单位）如对本处罚决定不服，可在收到本决定书之日起六十日内向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</w:t>
      </w:r>
    </w:p>
    <w:p>
      <w:pPr>
        <w:adjustRightInd w:val="0"/>
        <w:snapToGrid w:val="0"/>
        <w:spacing w:line="440" w:lineRule="exact"/>
        <w:ind w:left="-122" w:leftChars="-38" w:right="-118" w:rightChars="-37"/>
        <w:rPr>
          <w:rFonts w:hint="eastAsia" w:ascii="仿宋_GB2312" w:hAnsi="宋体" w:eastAsia="仿宋_GB2312"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bCs/>
          <w:color w:val="000000"/>
          <w:sz w:val="24"/>
        </w:rPr>
        <w:t>或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color w:val="000000"/>
          <w:sz w:val="24"/>
        </w:rPr>
        <w:t>申请行政复议，也可在收到本决定书之日起六个月内直接向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</w:t>
      </w:r>
    </w:p>
    <w:p>
      <w:pPr>
        <w:adjustRightInd w:val="0"/>
        <w:snapToGrid w:val="0"/>
        <w:spacing w:line="440" w:lineRule="exact"/>
        <w:ind w:left="-122" w:leftChars="-38" w:right="-118" w:rightChars="-37"/>
        <w:rPr>
          <w:rFonts w:hint="eastAsia" w:ascii="仿宋_GB2312" w:hAnsi="宋体" w:eastAsia="仿宋_GB2312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/>
          <w:sz w:val="24"/>
        </w:rPr>
        <w:t>人民法院提起行政诉讼。行政复议或行政诉讼期间本处罚决定不停止执行。</w:t>
      </w:r>
    </w:p>
    <w:p>
      <w:pPr>
        <w:spacing w:line="440" w:lineRule="exact"/>
        <w:ind w:left="-122" w:leftChars="-38" w:right="-118" w:rightChars="-37"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逾期不申请行政复议或者提起行政诉讼，又不履行本处罚决定，经催告后仍未履行义务的，依据《行政强制法》第五十四条的规定，本机关可申请人民法院强制执行。</w:t>
      </w:r>
    </w:p>
    <w:p>
      <w:pPr>
        <w:spacing w:line="440" w:lineRule="exact"/>
        <w:ind w:left="-122" w:leftChars="-38" w:right="-118" w:rightChars="-37"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>
      <w:pPr>
        <w:wordWrap w:val="0"/>
        <w:spacing w:line="440" w:lineRule="exact"/>
        <w:ind w:left="-547" w:leftChars="-171" w:right="-118" w:rightChars="-37"/>
        <w:jc w:val="righ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                           行政处罚实施机关（印章）    </w:t>
      </w:r>
    </w:p>
    <w:p>
      <w:pPr>
        <w:spacing w:line="440" w:lineRule="exact"/>
        <w:ind w:left="-547" w:leftChars="-171" w:right="-118" w:rightChars="-37"/>
        <w:jc w:val="center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                                      年    月    日    </w:t>
      </w:r>
    </w:p>
    <w:p>
      <w:pPr>
        <w:spacing w:line="576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WY3MDQyZTZkNjFhZGJjOTVhMDM4MDA4ZTlmZWQifQ=="/>
  </w:docVars>
  <w:rsids>
    <w:rsidRoot w:val="00FC716F"/>
    <w:rsid w:val="001B3885"/>
    <w:rsid w:val="00FC716F"/>
    <w:rsid w:val="15763AC2"/>
    <w:rsid w:val="285E07B1"/>
    <w:rsid w:val="49275D14"/>
    <w:rsid w:val="59365622"/>
    <w:rsid w:val="629E7428"/>
    <w:rsid w:val="73F74088"/>
    <w:rsid w:val="750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343</Characters>
  <Lines>7</Lines>
  <Paragraphs>2</Paragraphs>
  <TotalTime>1</TotalTime>
  <ScaleCrop>false</ScaleCrop>
  <LinksUpToDate>false</LinksUpToDate>
  <CharactersWithSpaces>1434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2021-11-29T02:49:00Z</dcterms:created>
  <dc:creator>Administrator</dc:creator>
  <cp:lastModifiedBy>我就是彭俊</cp:lastModifiedBy>
  <cp:lastPrinted>2021-11-29T02:50:00Z</cp:lastPrinted>
  <dcterms:modified xsi:type="dcterms:W3CDTF">2024-07-02T08:43:50Z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1689CE6D77284DBE9829160E3D014D08_13</vt:lpwstr>
  </property>
</Properties>
</file>